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after="20"/>
        <w:jc w:val="center"/>
      </w:pPr>
      <w:r>
        <w:rPr>
          <w:rFonts w:ascii="Arial" w:hAnsi="Arial"/>
          <w:b/>
          <w:color w:val="000000"/>
          <w:sz w:val="22"/>
        </w:rPr>
        <w:t>SECTION 33 05 61</w:t>
      </w:r>
    </w:p>
    <w:p>
      <w:pPr>
        <w:keepNext/>
        <w:spacing w:after="200"/>
        <w:jc w:val="center"/>
      </w:pPr>
      <w:r>
        <w:rPr>
          <w:rFonts w:ascii="Arial" w:hAnsi="Arial"/>
          <w:b/>
          <w:color w:val="000000"/>
          <w:sz w:val="22"/>
        </w:rPr>
        <w:t>PRECAST POLYMER CONCRETE MANHOLES</w:t>
      </w:r>
    </w:p>
    <w:p>
      <w:pPr>
        <w:spacing w:before="60" w:after="160"/>
        <w:ind w:left="288" w:right="288"/>
        <w:shd w:fill="FFF2CC"/>
      </w:pPr>
      <w:r>
        <w:rPr>
          <w:rFonts w:ascii="Arial" w:hAnsi="Arial"/>
          <w:b/>
          <w:color w:val="000000"/>
          <w:sz w:val="18"/>
        </w:rPr>
        <w:t>Specifier note:</w:t>
      </w:r>
      <w:r>
        <w:rPr>
          <w:rFonts w:ascii="Arial" w:hAnsi="Arial"/>
          <w:i/>
          <w:color w:val="000000"/>
          <w:sz w:val="18"/>
        </w:rPr>
        <w:t xml:space="preserve"> This section is written for direct insertion into a project manual. Delete this note and resolve bracketed selections before issue. Coordinate manhole sizes, elevations, pipe connections, frame and cover requirements, and field testing with the Drawings and related sections.</w:t>
      </w:r>
    </w:p>
    <w:p>
      <w:pPr>
        <w:pStyle w:val="Heading1"/>
        <w:jc w:val="center"/>
      </w:pPr>
      <w:r>
        <w:rPr>
          <w:rFonts w:ascii="Arial" w:hAnsi="Arial"/>
          <w:b/>
          <w:color w:val="000000"/>
          <w:sz w:val="22"/>
        </w:rPr>
        <w:t>PART 1 - GENERAL</w:t>
      </w:r>
    </w:p>
    <w:p>
      <w:pPr>
        <w:pStyle w:val="Heading2"/>
      </w:pPr>
      <w:r>
        <w:rPr>
          <w:rFonts w:ascii="Arial" w:hAnsi="Arial"/>
          <w:b/>
          <w:color w:val="000000"/>
          <w:sz w:val="20"/>
        </w:rPr>
        <w:t>1.1 SUMMARY</w:t>
      </w:r>
    </w:p>
    <w:p>
      <w:pPr>
        <w:pStyle w:val="SpecAlpha"/>
        <w:keepNext/>
      </w:pPr>
      <w:r>
        <w:rPr>
          <w:rFonts w:ascii="Arial" w:hAnsi="Arial"/>
          <w:color w:val="000000"/>
          <w:sz w:val="20"/>
        </w:rPr>
        <w:t>A. Section Includes:</w:t>
      </w:r>
    </w:p>
    <w:p>
      <w:pPr>
        <w:pStyle w:val="SpecNumeric"/>
      </w:pPr>
      <w:r>
        <w:rPr>
          <w:rFonts w:ascii="Arial" w:hAnsi="Arial"/>
          <w:color w:val="000000"/>
          <w:sz w:val="20"/>
        </w:rPr>
        <w:t>1. Circular precast polymer concrete manholes.</w:t>
      </w:r>
    </w:p>
    <w:p>
      <w:pPr>
        <w:pStyle w:val="SpecNumeric"/>
      </w:pPr>
      <w:r>
        <w:rPr>
          <w:rFonts w:ascii="Arial" w:hAnsi="Arial"/>
          <w:color w:val="000000"/>
          <w:sz w:val="20"/>
        </w:rPr>
        <w:t>2. Bases, risers, cones, transition sections, flat slabs, grade rings, factory-formed channels and benches, joints, and pipe connectors.</w:t>
      </w:r>
    </w:p>
    <w:p>
      <w:pPr>
        <w:pStyle w:val="SpecAlpha"/>
        <w:keepNext/>
      </w:pPr>
      <w:r>
        <w:rPr>
          <w:rFonts w:ascii="Arial" w:hAnsi="Arial"/>
          <w:color w:val="000000"/>
          <w:sz w:val="20"/>
        </w:rPr>
        <w:t>B. Related Requirements:</w:t>
      </w:r>
    </w:p>
    <w:p>
      <w:pPr>
        <w:pStyle w:val="SpecNumeric"/>
      </w:pPr>
      <w:r>
        <w:rPr>
          <w:rFonts w:ascii="Arial" w:hAnsi="Arial"/>
          <w:color w:val="000000"/>
          <w:sz w:val="20"/>
        </w:rPr>
        <w:t>1. Section [31 23 16.13 - Trenching] for excavation and foundation preparation.</w:t>
      </w:r>
    </w:p>
    <w:p>
      <w:pPr>
        <w:pStyle w:val="SpecNumeric"/>
      </w:pPr>
      <w:r>
        <w:rPr>
          <w:rFonts w:ascii="Arial" w:hAnsi="Arial"/>
          <w:color w:val="000000"/>
          <w:sz w:val="20"/>
        </w:rPr>
        <w:t>2. Section [31 23 23 - Fill] for bedding and backfill.</w:t>
      </w:r>
    </w:p>
    <w:p>
      <w:pPr>
        <w:pStyle w:val="SpecNumeric"/>
      </w:pPr>
      <w:r>
        <w:rPr>
          <w:rFonts w:ascii="Arial" w:hAnsi="Arial"/>
          <w:color w:val="000000"/>
          <w:sz w:val="20"/>
        </w:rPr>
        <w:t>3. Section [33 05 13 - Manholes and Structures] for frames, covers, and accessories not specified herein.</w:t>
      </w:r>
    </w:p>
    <w:p>
      <w:pPr>
        <w:pStyle w:val="Heading2"/>
      </w:pPr>
      <w:r>
        <w:rPr>
          <w:rFonts w:ascii="Arial" w:hAnsi="Arial"/>
          <w:b/>
          <w:color w:val="000000"/>
          <w:sz w:val="20"/>
        </w:rPr>
        <w:t>1.2 REFERENCE STANDARDS</w:t>
      </w:r>
    </w:p>
    <w:p>
      <w:pPr>
        <w:pStyle w:val="SpecAlpha"/>
      </w:pPr>
      <w:r>
        <w:rPr>
          <w:rFonts w:ascii="Arial" w:hAnsi="Arial"/>
          <w:color w:val="000000"/>
          <w:sz w:val="20"/>
        </w:rPr>
        <w:t>A. Comply with the latest adopted edition of referenced standards in effect on the date of the Contract Documents, unless a specific edition is indicated.</w:t>
      </w:r>
    </w:p>
    <w:p>
      <w:pPr>
        <w:pStyle w:val="SpecAlpha"/>
        <w:keepNext/>
      </w:pPr>
      <w:r>
        <w:rPr>
          <w:rFonts w:ascii="Arial" w:hAnsi="Arial"/>
          <w:color w:val="000000"/>
          <w:sz w:val="20"/>
        </w:rPr>
        <w:t>B. American Concrete Institute:</w:t>
      </w:r>
    </w:p>
    <w:p>
      <w:pPr>
        <w:pStyle w:val="SpecNumeric"/>
      </w:pPr>
      <w:r>
        <w:rPr>
          <w:rFonts w:ascii="Arial" w:hAnsi="Arial"/>
          <w:color w:val="000000"/>
          <w:sz w:val="20"/>
        </w:rPr>
        <w:t>1. ACI CODE-350-20 - Code Requirements for Environmental Engineering Concrete Structures.</w:t>
      </w:r>
    </w:p>
    <w:p>
      <w:pPr>
        <w:pStyle w:val="SpecNumeric"/>
      </w:pPr>
      <w:r>
        <w:rPr>
          <w:rFonts w:ascii="Arial" w:hAnsi="Arial"/>
          <w:color w:val="000000"/>
          <w:sz w:val="20"/>
        </w:rPr>
        <w:t>2. ACI SPEC-548.17-25 - Circular Precast Polymer-Concrete Manholes - Specification.</w:t>
      </w:r>
    </w:p>
    <w:p>
      <w:pPr>
        <w:pStyle w:val="SpecAlpha"/>
        <w:keepNext/>
      </w:pPr>
      <w:r>
        <w:rPr>
          <w:rFonts w:ascii="Arial" w:hAnsi="Arial"/>
          <w:color w:val="000000"/>
          <w:sz w:val="20"/>
        </w:rPr>
        <w:t>C. ASTM International:</w:t>
      </w:r>
    </w:p>
    <w:p>
      <w:pPr>
        <w:pStyle w:val="SpecNumeric"/>
      </w:pPr>
      <w:r>
        <w:rPr>
          <w:rFonts w:ascii="Arial" w:hAnsi="Arial"/>
          <w:color w:val="000000"/>
          <w:sz w:val="20"/>
        </w:rPr>
        <w:t>1. ASTM C267 - Chemical Resistance of Mortars, Grouts, and Monolithic Surfacings and Polymer Concretes.</w:t>
      </w:r>
    </w:p>
    <w:p>
      <w:pPr>
        <w:pStyle w:val="SpecNumeric"/>
      </w:pPr>
      <w:r>
        <w:rPr>
          <w:rFonts w:ascii="Arial" w:hAnsi="Arial"/>
          <w:color w:val="000000"/>
          <w:sz w:val="20"/>
        </w:rPr>
        <w:t>2. ASTM C413 - Absorption of Chemical-Resistant Mortars, Grouts, Monolithic Surfacings, and Polymer Concretes.</w:t>
      </w:r>
    </w:p>
    <w:p>
      <w:pPr>
        <w:pStyle w:val="SpecNumeric"/>
      </w:pPr>
      <w:r>
        <w:rPr>
          <w:rFonts w:ascii="Arial" w:hAnsi="Arial"/>
          <w:color w:val="000000"/>
          <w:sz w:val="20"/>
        </w:rPr>
        <w:t>3. ASTM C443 - Joints for Concrete Pipe and Manholes, Using Rubber Gaskets.</w:t>
      </w:r>
    </w:p>
    <w:p>
      <w:pPr>
        <w:pStyle w:val="SpecNumeric"/>
      </w:pPr>
      <w:r>
        <w:rPr>
          <w:rFonts w:ascii="Arial" w:hAnsi="Arial"/>
          <w:color w:val="000000"/>
          <w:sz w:val="20"/>
        </w:rPr>
        <w:t>4. ASTM C478 - Precast Reinforced Concrete Manhole Sections.</w:t>
      </w:r>
    </w:p>
    <w:p>
      <w:pPr>
        <w:pStyle w:val="SpecNumeric"/>
      </w:pPr>
      <w:r>
        <w:rPr>
          <w:rFonts w:ascii="Arial" w:hAnsi="Arial"/>
          <w:color w:val="000000"/>
          <w:sz w:val="20"/>
        </w:rPr>
        <w:t>5. ASTM C579 - Compressive Strength of Chemical-Resistant Mortars, Grouts, Monolithic Surfacings, and Polymer Concretes.</w:t>
      </w:r>
    </w:p>
    <w:p>
      <w:pPr>
        <w:pStyle w:val="SpecNumeric"/>
      </w:pPr>
      <w:r>
        <w:rPr>
          <w:rFonts w:ascii="Arial" w:hAnsi="Arial"/>
          <w:color w:val="000000"/>
          <w:sz w:val="20"/>
        </w:rPr>
        <w:t>6. ASTM C580 - Flexural Strength and Modulus of Elasticity of Chemical-Resistant Mortars, Grouts, Monolithic Surfacings, and Polymer Concretes.</w:t>
      </w:r>
    </w:p>
    <w:p>
      <w:pPr>
        <w:pStyle w:val="SpecNumeric"/>
      </w:pPr>
      <w:r>
        <w:rPr>
          <w:rFonts w:ascii="Arial" w:hAnsi="Arial"/>
          <w:color w:val="000000"/>
          <w:sz w:val="20"/>
        </w:rPr>
        <w:t>7. ASTM C857 - Minimum Structural Design Loading for Underground Precast Concrete Utility Structures.</w:t>
      </w:r>
    </w:p>
    <w:p>
      <w:pPr>
        <w:pStyle w:val="SpecNumeric"/>
      </w:pPr>
      <w:r>
        <w:rPr>
          <w:rFonts w:ascii="Arial" w:hAnsi="Arial"/>
          <w:color w:val="000000"/>
          <w:sz w:val="20"/>
        </w:rPr>
        <w:t>8. ASTM C923 - Resilient Connectors Between Reinforced Concrete Manhole Structures, Pipes, and Laterals.</w:t>
      </w:r>
    </w:p>
    <w:p>
      <w:pPr>
        <w:pStyle w:val="SpecNumeric"/>
      </w:pPr>
      <w:r>
        <w:rPr>
          <w:rFonts w:ascii="Arial" w:hAnsi="Arial"/>
          <w:color w:val="000000"/>
          <w:sz w:val="20"/>
        </w:rPr>
        <w:t>9. ASTM C990 - Joints for Concrete Pipe, Manholes, and Precast Box Sections Using Preformed Flexible Joint Sealants.</w:t>
      </w:r>
    </w:p>
    <w:p>
      <w:pPr>
        <w:pStyle w:val="SpecNumeric"/>
      </w:pPr>
      <w:r>
        <w:rPr>
          <w:rFonts w:ascii="Arial" w:hAnsi="Arial"/>
          <w:color w:val="000000"/>
          <w:sz w:val="20"/>
        </w:rPr>
        <w:t>10. ASTM C1244 - Concrete Sewer Manholes by the Negative Air Pressure (Vacuum) Test Prior to Backfill.</w:t>
      </w:r>
    </w:p>
    <w:p>
      <w:pPr>
        <w:pStyle w:val="SpecNumeric"/>
      </w:pPr>
      <w:r>
        <w:rPr>
          <w:rFonts w:ascii="Arial" w:hAnsi="Arial"/>
          <w:color w:val="000000"/>
          <w:sz w:val="20"/>
        </w:rPr>
        <w:t>11. ASTM D648 - Deflection Temperature of Plastics Under Flexural Load.</w:t>
      </w:r>
    </w:p>
    <w:p>
      <w:pPr>
        <w:pStyle w:val="SpecAlpha"/>
        <w:keepNext/>
      </w:pPr>
      <w:r>
        <w:rPr>
          <w:rFonts w:ascii="Arial" w:hAnsi="Arial"/>
          <w:color w:val="000000"/>
          <w:sz w:val="20"/>
        </w:rPr>
        <w:t>D. International Organization for Standardization:</w:t>
      </w:r>
    </w:p>
    <w:p>
      <w:pPr>
        <w:pStyle w:val="SpecNumeric"/>
      </w:pPr>
      <w:r>
        <w:rPr>
          <w:rFonts w:ascii="Arial" w:hAnsi="Arial"/>
          <w:color w:val="000000"/>
          <w:sz w:val="20"/>
        </w:rPr>
        <w:t>1. ISO 9001 - Quality Management Systems - Requirements.</w:t>
      </w:r>
    </w:p>
    <w:p>
      <w:pPr>
        <w:pStyle w:val="Heading2"/>
      </w:pPr>
      <w:r>
        <w:rPr>
          <w:rFonts w:ascii="Arial" w:hAnsi="Arial"/>
          <w:b/>
          <w:color w:val="000000"/>
          <w:sz w:val="20"/>
        </w:rPr>
        <w:t>1.3 SUBMITTALS</w:t>
      </w:r>
    </w:p>
    <w:p>
      <w:pPr>
        <w:pStyle w:val="SpecAlpha"/>
      </w:pPr>
      <w:r>
        <w:rPr>
          <w:rFonts w:ascii="Arial" w:hAnsi="Arial"/>
          <w:color w:val="000000"/>
          <w:sz w:val="20"/>
        </w:rPr>
        <w:t>A. Product Data: Manufacturer's literature for manhole sections, joints, pipe connectors, lifting devices, repair materials, and installation.</w:t>
      </w:r>
    </w:p>
    <w:p>
      <w:pPr>
        <w:pStyle w:val="SpecAlpha"/>
      </w:pPr>
      <w:r>
        <w:rPr>
          <w:rFonts w:ascii="Arial" w:hAnsi="Arial"/>
          <w:color w:val="000000"/>
          <w:sz w:val="20"/>
        </w:rPr>
        <w:t>B. Shop Drawings: Show dimensions, component arrangement, wall thicknesses, reinforcement, joints, openings, pipe sizes and elevations, channels and benches, lifting points, and component identification.</w:t>
      </w:r>
    </w:p>
    <w:p>
      <w:pPr>
        <w:pStyle w:val="SpecAlpha"/>
      </w:pPr>
      <w:r>
        <w:rPr>
          <w:rFonts w:ascii="Arial" w:hAnsi="Arial"/>
          <w:color w:val="000000"/>
          <w:sz w:val="20"/>
        </w:rPr>
        <w:t>C. Delegated-Design Submittal: Calculations and Shop Drawings sealed by a professional engineer licensed in the state where the Project is located. Identify design loads, groundwater elevation, soil properties, load combinations, material properties, reinforcement, and flotation resistance.</w:t>
      </w:r>
    </w:p>
    <w:p>
      <w:pPr>
        <w:pStyle w:val="SpecAlpha"/>
      </w:pPr>
      <w:r>
        <w:rPr>
          <w:rFonts w:ascii="Arial" w:hAnsi="Arial"/>
          <w:color w:val="000000"/>
          <w:sz w:val="20"/>
        </w:rPr>
        <w:t>D. Qualification Data: Current independent laboratory reports demonstrating compliance with the material and performance requirements of ACI SPEC-548.17-25 and this Section, together with resin-supplier certification that the resin system is vinyl ester and manufactured without styrene as a reactive diluent.</w:t>
      </w:r>
    </w:p>
    <w:p>
      <w:pPr>
        <w:pStyle w:val="SpecAlpha"/>
      </w:pPr>
      <w:r>
        <w:rPr>
          <w:rFonts w:ascii="Arial" w:hAnsi="Arial"/>
          <w:color w:val="000000"/>
          <w:sz w:val="20"/>
        </w:rPr>
        <w:t>E. Manufacturer's ISO 9001 quality-control certification.</w:t>
      </w:r>
    </w:p>
    <w:p>
      <w:pPr>
        <w:pStyle w:val="SpecAlpha"/>
      </w:pPr>
      <w:r>
        <w:rPr>
          <w:rFonts w:ascii="Arial" w:hAnsi="Arial"/>
          <w:color w:val="000000"/>
          <w:sz w:val="20"/>
        </w:rPr>
        <w:t>F. Manufacturer's installation instructions and written warranty.</w:t>
      </w:r>
    </w:p>
    <w:p>
      <w:pPr>
        <w:pStyle w:val="Heading2"/>
      </w:pPr>
      <w:r>
        <w:rPr>
          <w:rFonts w:ascii="Arial" w:hAnsi="Arial"/>
          <w:b/>
          <w:color w:val="000000"/>
          <w:sz w:val="20"/>
        </w:rPr>
        <w:t>1.4 QUALITY ASSURANCE</w:t>
      </w:r>
    </w:p>
    <w:p>
      <w:pPr>
        <w:pStyle w:val="SpecAlpha"/>
      </w:pPr>
      <w:r>
        <w:rPr>
          <w:rFonts w:ascii="Arial" w:hAnsi="Arial"/>
          <w:color w:val="000000"/>
          <w:sz w:val="20"/>
        </w:rPr>
        <w:t>A. Manufacturer Qualifications: Manufacturer regularly engaged in producing polymer concrete manholes of comparable type and size under a documented quality-management system certified to ISO 9001.</w:t>
      </w:r>
    </w:p>
    <w:p>
      <w:pPr>
        <w:pStyle w:val="SpecAlpha"/>
      </w:pPr>
      <w:r>
        <w:rPr>
          <w:rFonts w:ascii="Arial" w:hAnsi="Arial"/>
          <w:color w:val="000000"/>
          <w:sz w:val="20"/>
        </w:rPr>
        <w:t>B. Provide components of each manhole system from one manufacturer or under that manufacturer's documented responsibility.</w:t>
      </w:r>
    </w:p>
    <w:p>
      <w:pPr>
        <w:pStyle w:val="Heading2"/>
      </w:pPr>
      <w:r>
        <w:rPr>
          <w:rFonts w:ascii="Arial" w:hAnsi="Arial"/>
          <w:b/>
          <w:color w:val="000000"/>
          <w:sz w:val="20"/>
        </w:rPr>
        <w:t>1.5 DELIVERY, STORAGE, AND HANDLING</w:t>
      </w:r>
    </w:p>
    <w:p>
      <w:pPr>
        <w:pStyle w:val="SpecAlpha"/>
      </w:pPr>
      <w:r>
        <w:rPr>
          <w:rFonts w:ascii="Arial" w:hAnsi="Arial"/>
          <w:color w:val="000000"/>
          <w:sz w:val="20"/>
        </w:rPr>
        <w:t>A. Handle components only at designated lifting points using devices and methods recommended by the manufacturer. Do not use pipe openings or joint surfaces for lifting.</w:t>
      </w:r>
    </w:p>
    <w:p>
      <w:pPr>
        <w:pStyle w:val="SpecAlpha"/>
      </w:pPr>
      <w:r>
        <w:rPr>
          <w:rFonts w:ascii="Arial" w:hAnsi="Arial"/>
          <w:color w:val="000000"/>
          <w:sz w:val="20"/>
        </w:rPr>
        <w:t>B. Store components on firm, level supports. Protect joint surfaces, gaskets, connectors, and coatings from contamination, impact, distortion, and weather damage.</w:t>
      </w:r>
    </w:p>
    <w:p>
      <w:pPr>
        <w:pStyle w:val="Heading2"/>
      </w:pPr>
      <w:r>
        <w:rPr>
          <w:rFonts w:ascii="Arial" w:hAnsi="Arial"/>
          <w:b/>
          <w:color w:val="000000"/>
          <w:sz w:val="20"/>
        </w:rPr>
        <w:t>1.6 WARRANTY</w:t>
      </w:r>
    </w:p>
    <w:p>
      <w:pPr>
        <w:pStyle w:val="SpecAlpha"/>
      </w:pPr>
      <w:r>
        <w:rPr>
          <w:rFonts w:ascii="Arial" w:hAnsi="Arial"/>
          <w:color w:val="000000"/>
          <w:sz w:val="20"/>
        </w:rPr>
        <w:t>A. Manufacturer's Warranty: Provide manufacturer's standard written 50-year warranty, commencing on installation, against defects, corrosion, decomposition, or disintegration of polymer concrete components. Remedy shall be repair or replacement at manufacturer's discretion, subject to standard claim, inspection, exclusion, and assignment provisions. Third-party pipe connectors, boots, and accessories are excluded and subject to their manufacturers' warranties.</w:t>
      </w:r>
    </w:p>
    <w:p>
      <w:pPr>
        <w:pStyle w:val="Heading1"/>
        <w:jc w:val="center"/>
      </w:pPr>
      <w:r>
        <w:rPr>
          <w:rFonts w:ascii="Arial" w:hAnsi="Arial"/>
          <w:b/>
          <w:color w:val="000000"/>
          <w:sz w:val="22"/>
        </w:rPr>
        <w:t>PART 2 - PRODUCTS</w:t>
      </w:r>
    </w:p>
    <w:p>
      <w:pPr>
        <w:pStyle w:val="Heading2"/>
      </w:pPr>
      <w:r>
        <w:rPr>
          <w:rFonts w:ascii="Arial" w:hAnsi="Arial"/>
          <w:b/>
          <w:color w:val="000000"/>
          <w:sz w:val="20"/>
        </w:rPr>
        <w:t>2.1 MANUFACTURERS</w:t>
      </w:r>
    </w:p>
    <w:p>
      <w:pPr>
        <w:pStyle w:val="SpecAlpha"/>
      </w:pPr>
      <w:r>
        <w:rPr>
          <w:rFonts w:ascii="Arial" w:hAnsi="Arial"/>
          <w:color w:val="000000"/>
          <w:sz w:val="20"/>
        </w:rPr>
        <w:t>A. Basis-of-Design Manufacturer: P3 Polymers, LLC.</w:t>
      </w:r>
    </w:p>
    <w:p>
      <w:pPr>
        <w:pStyle w:val="SpecAlpha"/>
      </w:pPr>
      <w:r>
        <w:rPr>
          <w:rFonts w:ascii="Arial" w:hAnsi="Arial"/>
          <w:color w:val="000000"/>
          <w:sz w:val="20"/>
        </w:rPr>
        <w:t>B. Substitutions: Subject to requirements of [Section 01 25 00] and demonstration of compliance with this Section.</w:t>
      </w:r>
    </w:p>
    <w:p>
      <w:pPr>
        <w:pStyle w:val="Heading2"/>
      </w:pPr>
      <w:r>
        <w:rPr>
          <w:rFonts w:ascii="Arial" w:hAnsi="Arial"/>
          <w:b/>
          <w:color w:val="000000"/>
          <w:sz w:val="20"/>
        </w:rPr>
        <w:t>2.2 PERFORMANCE REQUIREMENTS</w:t>
      </w:r>
    </w:p>
    <w:p>
      <w:pPr>
        <w:pStyle w:val="SpecAlpha"/>
      </w:pPr>
      <w:r>
        <w:rPr>
          <w:rFonts w:ascii="Arial" w:hAnsi="Arial"/>
          <w:color w:val="000000"/>
          <w:sz w:val="20"/>
        </w:rPr>
        <w:t>A. General: Provide precast reinforced polymer concrete manholes complying with ACI SPEC-548.17-25, except as modified by this Section.</w:t>
      </w:r>
    </w:p>
    <w:p>
      <w:pPr>
        <w:pStyle w:val="SpecAlpha"/>
        <w:keepNext/>
      </w:pPr>
      <w:r>
        <w:rPr>
          <w:rFonts w:ascii="Arial" w:hAnsi="Arial"/>
          <w:color w:val="000000"/>
          <w:sz w:val="20"/>
        </w:rPr>
        <w:t>B. Structural Design:</w:t>
      </w:r>
    </w:p>
    <w:p>
      <w:pPr>
        <w:pStyle w:val="SpecNumeric"/>
      </w:pPr>
      <w:r>
        <w:rPr>
          <w:rFonts w:ascii="Arial" w:hAnsi="Arial"/>
          <w:color w:val="000000"/>
          <w:sz w:val="20"/>
        </w:rPr>
        <w:t>1. Design manhole components and joints by the strength-design method using factored load combinations in accordance with ACI CODE-350-20 and ACI SPEC-548.17-25. Include dead load, lateral earth and groundwater pressures, handling and installation loads, and ASTM C857 A-16 heavy-traffic loading unless another loading is indicated on the Drawings.</w:t>
      </w:r>
    </w:p>
    <w:p>
      <w:pPr>
        <w:pStyle w:val="SpecNumeric"/>
      </w:pPr>
      <w:r>
        <w:rPr>
          <w:rFonts w:ascii="Arial" w:hAnsi="Arial"/>
          <w:color w:val="000000"/>
          <w:sz w:val="20"/>
        </w:rPr>
        <w:t>2. Use soil design values stated in the geotechnical report. If unavailable, use a total soil unit weight of 120 pcf, water unit weight of 62.4 pcf, at-rest lateral earth-pressure coefficient, K0, of 0.50, and allowable service bearing pressure of 2,000 psf. These baseline values assume ordinary engineered granular backfill and do not establish subgrade suitability, settlement performance, slope stability, liquefaction resistance, or suitability of undocumented fill.</w:t>
      </w:r>
    </w:p>
    <w:p>
      <w:pPr>
        <w:pStyle w:val="SpecNumeric"/>
      </w:pPr>
      <w:r>
        <w:rPr>
          <w:rFonts w:ascii="Arial" w:hAnsi="Arial"/>
          <w:color w:val="000000"/>
          <w:sz w:val="20"/>
        </w:rPr>
        <w:t>3. Assume groundwater at finished grade unless another design elevation is indicated in the geotechnical report.</w:t>
      </w:r>
    </w:p>
    <w:p>
      <w:pPr>
        <w:pStyle w:val="SpecNumeric"/>
      </w:pPr>
      <w:r>
        <w:rPr>
          <w:rFonts w:ascii="Arial" w:hAnsi="Arial"/>
          <w:color w:val="000000"/>
          <w:sz w:val="20"/>
        </w:rPr>
        <w:t>4. Calculate lateral pressure as K0 times total soil unit weight above groundwater and K0 times buoyant soil unit weight below groundwater. Take buoyant soil unit weight as total soil unit weight less water unit weight. Add hydrostatic water pressure and applicable live-load surcharge.</w:t>
      </w:r>
    </w:p>
    <w:p>
      <w:pPr>
        <w:pStyle w:val="SpecNumeric"/>
      </w:pPr>
      <w:r>
        <w:rPr>
          <w:rFonts w:ascii="Arial" w:hAnsi="Arial"/>
          <w:color w:val="000000"/>
          <w:sz w:val="20"/>
        </w:rPr>
        <w:t>5. Check an empty manhole under external soil, groundwater, and surcharge pressures and a manhole under unbalanced internal liquid pressure. Use an internal liquid unit weight of 63 pcf to the underside of the top slab unless a greater unit weight or lower design liquid elevation is indicated.</w:t>
      </w:r>
    </w:p>
    <w:p>
      <w:pPr>
        <w:pStyle w:val="SpecNumeric"/>
      </w:pPr>
      <w:r>
        <w:rPr>
          <w:rFonts w:ascii="Arial" w:hAnsi="Arial"/>
          <w:color w:val="000000"/>
          <w:sz w:val="20"/>
        </w:rPr>
        <w:t>6. Design base slabs for uniform support over the full bearing area. Check service bearing pressure for governing load combinations using all applicable vertical service loads, including self-weight, internal liquid, soil overburden, frame and cover, live-load effects, and permanent ballast or anti-flotation restraint.</w:t>
      </w:r>
    </w:p>
    <w:p>
      <w:pPr>
        <w:pStyle w:val="SpecNumeric"/>
      </w:pPr>
      <w:r>
        <w:rPr>
          <w:rFonts w:ascii="Arial" w:hAnsi="Arial"/>
          <w:color w:val="000000"/>
          <w:sz w:val="20"/>
        </w:rPr>
        <w:t>7. Provide a minimum factor of safety of 1.2 against flotation for an empty manhole at the design groundwater elevation. Disregard soil side friction unless supported by geotechnical values; where used, limit resistance to 75 percent of the value for an equivalent portland-cement concrete structure.</w:t>
      </w:r>
    </w:p>
    <w:p>
      <w:pPr>
        <w:pStyle w:val="SpecNumeric"/>
      </w:pPr>
      <w:r>
        <w:rPr>
          <w:rFonts w:ascii="Arial" w:hAnsi="Arial"/>
          <w:color w:val="000000"/>
          <w:sz w:val="20"/>
        </w:rPr>
        <w:t>8. Provide designed anti-flotation restraint where required to satisfy the specified factor of safety.</w:t>
      </w:r>
    </w:p>
    <w:p>
      <w:pPr>
        <w:pStyle w:val="SpecNumeric"/>
      </w:pPr>
      <w:r>
        <w:rPr>
          <w:rFonts w:ascii="Arial" w:hAnsi="Arial"/>
          <w:color w:val="000000"/>
          <w:sz w:val="20"/>
        </w:rPr>
        <w:t>9. Account for sustained loads and creep rupture in accordance with ACI SPEC-548.17-25.</w:t>
      </w:r>
    </w:p>
    <w:p>
      <w:pPr>
        <w:pStyle w:val="SpecNumeric"/>
      </w:pPr>
      <w:r>
        <w:rPr>
          <w:rFonts w:ascii="Arial" w:hAnsi="Arial"/>
          <w:color w:val="000000"/>
          <w:sz w:val="20"/>
        </w:rPr>
        <w:t>10. Regardless of calculated demand, provide steel reinforcement not less than the following manhole-specific minimums adapted from ASTM C478:</w:t>
      </w:r>
    </w:p>
    <w:p>
      <w:pPr>
        <w:pStyle w:val="SpecLower"/>
      </w:pPr>
      <w:r>
        <w:rPr>
          <w:rFonts w:ascii="Arial" w:hAnsi="Arial"/>
          <w:color w:val="000000"/>
          <w:sz w:val="20"/>
        </w:rPr>
        <w:t>a. In riser, conical-top, and base-section walls, provide total circumferential reinforcement area per vertical foot not less than 0.0025 times the nominal inside diameter in inches. The total area may be provided in one or two lines of reinforcement.</w:t>
      </w:r>
    </w:p>
    <w:p>
      <w:pPr>
        <w:pStyle w:val="SpecLower"/>
      </w:pPr>
      <w:r>
        <w:rPr>
          <w:rFonts w:ascii="Arial" w:hAnsi="Arial"/>
          <w:color w:val="000000"/>
          <w:sz w:val="20"/>
        </w:rPr>
        <w:t>b. Space circumferential reinforcement not more than 6 inches on center.</w:t>
      </w:r>
    </w:p>
    <w:p>
      <w:pPr>
        <w:pStyle w:val="SpecLower"/>
      </w:pPr>
      <w:r>
        <w:rPr>
          <w:rFonts w:ascii="Arial" w:hAnsi="Arial"/>
          <w:color w:val="000000"/>
          <w:sz w:val="20"/>
        </w:rPr>
        <w:t>c. Provide sufficient longitudinal steel members to maintain the reinforcement cage in its required shape and position during casting.</w:t>
      </w:r>
    </w:p>
    <w:p>
      <w:pPr>
        <w:pStyle w:val="SpecLower"/>
      </w:pPr>
      <w:r>
        <w:rPr>
          <w:rFonts w:ascii="Arial" w:hAnsi="Arial"/>
          <w:color w:val="000000"/>
          <w:sz w:val="20"/>
        </w:rPr>
        <w:t>d. In integral base slabs and separate flat-slab floors, provide at least one reinforcement layer above the slab midpoint having an area not less than 0.12 square inch per linear foot in each direction.</w:t>
      </w:r>
    </w:p>
    <w:p>
      <w:pPr>
        <w:pStyle w:val="SpecLower"/>
      </w:pPr>
      <w:r>
        <w:rPr>
          <w:rFonts w:ascii="Arial" w:hAnsi="Arial"/>
          <w:color w:val="000000"/>
          <w:sz w:val="20"/>
        </w:rPr>
        <w:t>e. In reinforced grade rings, provide circumferential reinforcement having an equivalent area not less than 0.07 square inch per vertical foot and not less than 0.024 square inch in any one grade ring.</w:t>
      </w:r>
    </w:p>
    <w:p>
      <w:pPr>
        <w:pStyle w:val="SpecLower"/>
      </w:pPr>
      <w:r>
        <w:rPr>
          <w:rFonts w:ascii="Arial" w:hAnsi="Arial"/>
          <w:color w:val="000000"/>
          <w:sz w:val="20"/>
        </w:rPr>
        <w:t>f. At flat-top openings, provide additional reinforcement consisting of not less than 0.20 square inch of steel at 90 degrees. Extend straight reinforcing bars used at openings not less than the opening diameter plus 2 inches.</w:t>
      </w:r>
    </w:p>
    <w:p>
      <w:pPr>
        <w:pStyle w:val="SpecLower"/>
      </w:pPr>
      <w:r>
        <w:rPr>
          <w:rFonts w:ascii="Arial" w:hAnsi="Arial"/>
          <w:color w:val="000000"/>
          <w:sz w:val="20"/>
        </w:rPr>
        <w:t>g. Provide additional reinforcement where calculations require and around other openings and discontinuities.</w:t>
      </w:r>
    </w:p>
    <w:p>
      <w:pPr>
        <w:pStyle w:val="SpecLower"/>
      </w:pPr>
      <w:r>
        <w:rPr>
          <w:rFonts w:ascii="Arial" w:hAnsi="Arial"/>
          <w:color w:val="000000"/>
          <w:sz w:val="20"/>
        </w:rPr>
        <w:t>h. Provide not less than 3/4 inch clear cover over steel reinforcement.</w:t>
      </w:r>
    </w:p>
    <w:p>
      <w:pPr>
        <w:pStyle w:val="SpecNumeric"/>
      </w:pPr>
      <w:r>
        <w:rPr>
          <w:rFonts w:ascii="Arial" w:hAnsi="Arial"/>
          <w:color w:val="000000"/>
          <w:sz w:val="20"/>
        </w:rPr>
        <w:t>11. Use a polymer concrete unit weight of 145 pcf for the basis-of-design product. For a proposed substitution, use the independently documented unit weight of the submitted product and select the value adverse to each applicable limit state.</w:t>
      </w:r>
    </w:p>
    <w:p>
      <w:pPr>
        <w:pStyle w:val="SpecNumeric"/>
      </w:pPr>
      <w:r>
        <w:rPr>
          <w:rFonts w:ascii="Arial" w:hAnsi="Arial"/>
          <w:color w:val="000000"/>
          <w:sz w:val="20"/>
        </w:rPr>
        <w:t>12. Determine tensile strength, flexural strength, modulus of elasticity, and other mechanical properties used in design in accordance with ACI SPEC-548.17-25. When flexural strength or flexural modulus is used in design, test it in accordance with ASTM C580. Do not use qualification-test strength as an allowable design stress without the applicable strength-reduction and sustained-load provisions.</w:t>
      </w:r>
    </w:p>
    <w:p>
      <w:pPr>
        <w:pStyle w:val="SpecAlpha"/>
      </w:pPr>
      <w:r>
        <w:rPr>
          <w:rFonts w:ascii="Arial" w:hAnsi="Arial"/>
          <w:color w:val="000000"/>
          <w:sz w:val="20"/>
        </w:rPr>
        <w:t>C. Service Conditions: Suitable for continuous exposure to municipal sanitary sewage, hydrogen sulfide, sulfuric acid generated by microbial activity, and the soil and groundwater conditions indicated.</w:t>
      </w:r>
    </w:p>
    <w:p>
      <w:pPr>
        <w:pStyle w:val="Heading2"/>
      </w:pPr>
      <w:r>
        <w:rPr>
          <w:rFonts w:ascii="Arial" w:hAnsi="Arial"/>
          <w:b/>
          <w:color w:val="000000"/>
          <w:sz w:val="20"/>
        </w:rPr>
        <w:t>2.3 POLYMER CONCRETE MATERIALS</w:t>
      </w:r>
    </w:p>
    <w:p>
      <w:pPr>
        <w:pStyle w:val="SpecAlpha"/>
      </w:pPr>
      <w:r>
        <w:rPr>
          <w:rFonts w:ascii="Arial" w:hAnsi="Arial"/>
          <w:color w:val="000000"/>
          <w:sz w:val="20"/>
        </w:rPr>
        <w:t>A. Polymer Concrete: Factory-proportioned mixture of thermosetting resin binder and well-graded, noncalcareous aggregate. Portland cement shall not be used as the polymer concrete binder.</w:t>
      </w:r>
    </w:p>
    <w:p>
      <w:pPr>
        <w:pStyle w:val="SpecAlpha"/>
      </w:pPr>
      <w:r>
        <w:rPr>
          <w:rFonts w:ascii="Arial" w:hAnsi="Arial"/>
          <w:color w:val="000000"/>
          <w:sz w:val="20"/>
        </w:rPr>
        <w:t>B. Resin System: Styrene-free vinyl ester thermosetting resin formulated for the chemical and temperature exposures indicated. Heat-deflection temperature, tested in accordance with ASTM D648, shall be not less than 158 degrees F. For applications with elevated effluent temperatures, provide a resin system having a heat-deflection temperature exceeding the maximum expected effluent temperature by a project-specific margin approved by Engineer.</w:t>
      </w:r>
    </w:p>
    <w:p>
      <w:pPr>
        <w:pStyle w:val="SpecAlpha"/>
      </w:pPr>
      <w:r>
        <w:rPr>
          <w:rFonts w:ascii="Arial" w:hAnsi="Arial"/>
          <w:color w:val="000000"/>
          <w:sz w:val="20"/>
        </w:rPr>
        <w:t>C. Aggregate: Clean, sound, durable, and free of limestone, dolomite, and other calcareous material. Aggregate shall satisfy the chemical-resistance and strength qualification requirements of ACI SPEC-548.17-25.</w:t>
      </w:r>
    </w:p>
    <w:p>
      <w:pPr>
        <w:pStyle w:val="SpecAlpha"/>
        <w:keepNext/>
      </w:pPr>
      <w:r>
        <w:rPr>
          <w:rFonts w:ascii="Arial" w:hAnsi="Arial"/>
          <w:color w:val="000000"/>
          <w:sz w:val="20"/>
        </w:rPr>
        <w:t>D. Minimum Cured Properties:</w:t>
      </w:r>
    </w:p>
    <w:p>
      <w:pPr>
        <w:pStyle w:val="SpecNumeric"/>
      </w:pPr>
      <w:r>
        <w:rPr>
          <w:rFonts w:ascii="Arial" w:hAnsi="Arial"/>
          <w:color w:val="000000"/>
          <w:sz w:val="20"/>
        </w:rPr>
        <w:t>1. Compressive Strength: 10,000 psi at 7 days when tested in accordance with ASTM C579, Method C.</w:t>
      </w:r>
    </w:p>
    <w:p>
      <w:pPr>
        <w:pStyle w:val="SpecNumeric"/>
      </w:pPr>
      <w:r>
        <w:rPr>
          <w:rFonts w:ascii="Arial" w:hAnsi="Arial"/>
          <w:color w:val="000000"/>
          <w:sz w:val="20"/>
        </w:rPr>
        <w:t>2. Water Absorption: 0.20 percent maximum when tested in accordance with ASTM C413, Method C.</w:t>
      </w:r>
    </w:p>
    <w:p>
      <w:pPr>
        <w:pStyle w:val="SpecNumeric"/>
      </w:pPr>
      <w:r>
        <w:rPr>
          <w:rFonts w:ascii="Arial" w:hAnsi="Arial"/>
          <w:color w:val="000000"/>
          <w:sz w:val="20"/>
        </w:rPr>
        <w:t>3. Chemical Resistance: Test in accordance with ASTM C267 and comply with the 112-day immersion, retained-strength, dimensional-change, mass-loss, and visual-acceptance requirements specified in ACI SPEC-548.17-25.</w:t>
      </w:r>
    </w:p>
    <w:p>
      <w:pPr>
        <w:pStyle w:val="SpecAlpha"/>
      </w:pPr>
      <w:r>
        <w:rPr>
          <w:rFonts w:ascii="Arial" w:hAnsi="Arial"/>
          <w:color w:val="000000"/>
          <w:sz w:val="20"/>
        </w:rPr>
        <w:t>E. Steel Reinforcement: Deformed steel bars or welded-wire reinforcement of the types permitted by ASTM C478.</w:t>
      </w:r>
    </w:p>
    <w:p>
      <w:pPr>
        <w:pStyle w:val="Heading2"/>
      </w:pPr>
      <w:r>
        <w:rPr>
          <w:rFonts w:ascii="Arial" w:hAnsi="Arial"/>
          <w:b/>
          <w:color w:val="000000"/>
          <w:sz w:val="20"/>
        </w:rPr>
        <w:t>2.4 COMPONENTS</w:t>
      </w:r>
    </w:p>
    <w:p>
      <w:pPr>
        <w:pStyle w:val="SpecAlpha"/>
      </w:pPr>
      <w:r>
        <w:rPr>
          <w:rFonts w:ascii="Arial" w:hAnsi="Arial"/>
          <w:color w:val="000000"/>
          <w:sz w:val="20"/>
        </w:rPr>
        <w:t>A. Manhole Sections: Circular, machine- or mold-cast units with smooth, dense surfaces and uniform wall thickness. Nominal inside diameter and configuration shall be as indicated.</w:t>
      </w:r>
    </w:p>
    <w:p>
      <w:pPr>
        <w:pStyle w:val="SpecAlpha"/>
      </w:pPr>
      <w:r>
        <w:rPr>
          <w:rFonts w:ascii="Arial" w:hAnsi="Arial"/>
          <w:color w:val="000000"/>
          <w:sz w:val="20"/>
        </w:rPr>
        <w:t>B. Standard Manufacturing Geometry: Provide components having nominal dimensions not less than those in Table 1. Table 1 dimensions are minimum nominal casting dimensions established for consistent manufacture, reinforcement placement, joint and penetration formation, handling, and dimensional stability. Do not reduce the listed dimensions based on structural calculations; increase them where calculations require. Table 1 maximum single-section riser heights shall not be exceeded.</w:t>
      </w:r>
    </w:p>
    <w:p>
      <w:pPr>
        <w:keepNext/>
        <w:spacing w:before="40" w:after="60"/>
        <w:jc w:val="center"/>
      </w:pPr>
      <w:r>
        <w:rPr>
          <w:rFonts w:ascii="Arial" w:hAnsi="Arial"/>
          <w:b/>
          <w:color w:val="000000"/>
          <w:sz w:val="17"/>
        </w:rPr>
        <w:t>Table 1 - Standard Manufacturing Geometry</w:t>
      </w:r>
    </w:p>
    <w:tbl>
      <w:tblPr>
        <w:tblStyle w:val="TableGrid"/>
        <w:tblW w:type="dxa" w:w="9790"/>
        <w:jc w:val="left"/>
        <w:tblLayout w:type="fixed"/>
        <w:tblLook w:firstColumn="1" w:firstRow="1" w:lastColumn="0" w:lastRow="0" w:noHBand="0" w:noVBand="1" w:val="04A0"/>
      </w:tblPr>
      <w:tblGrid>
        <w:gridCol w:w="1368"/>
        <w:gridCol w:w="1440"/>
        <w:gridCol w:w="1800"/>
        <w:gridCol w:w="1655"/>
        <w:gridCol w:w="1512"/>
        <w:gridCol w:w="2015"/>
      </w:tblGrid>
      <w:tr>
        <w:trPr>
          <w:cantSplit/>
          <w:tblHeader w:val="true"/>
        </w:trPr>
        <w:tc>
          <w:tcPr>
            <w:tcW w:type="dxa" w:w="1368"/>
            <w:vAlign w:val="center"/>
            <w:tcMar>
              <w:top w:w="45" w:type="dxa"/>
              <w:start w:w="50" w:type="dxa"/>
              <w:bottom w:w="45" w:type="dxa"/>
              <w:end w:w="50" w:type="dxa"/>
            </w:tcMar>
            <w:shd w:fill="D9E2F3"/>
          </w:tcPr>
          <w:p>
            <w:pPr>
              <w:spacing w:before="0" w:after="0" w:line="240" w:lineRule="auto"/>
              <w:jc w:val="left"/>
            </w:pPr>
            <w:r>
              <w:rPr>
                <w:rFonts w:ascii="Arial" w:hAnsi="Arial"/>
                <w:b/>
                <w:color w:val="000000"/>
                <w:sz w:val="14"/>
              </w:rPr>
              <w:t>Inside Diameter</w:t>
            </w:r>
          </w:p>
        </w:tc>
        <w:tc>
          <w:tcPr>
            <w:tcW w:type="dxa" w:w="1440"/>
            <w:vAlign w:val="center"/>
            <w:tcMar>
              <w:top w:w="45" w:type="dxa"/>
              <w:start w:w="50" w:type="dxa"/>
              <w:bottom w:w="45" w:type="dxa"/>
              <w:end w:w="50" w:type="dxa"/>
            </w:tcMar>
            <w:shd w:fill="D9E2F3"/>
          </w:tcPr>
          <w:p>
            <w:pPr>
              <w:spacing w:before="0" w:after="0" w:line="240" w:lineRule="auto"/>
              <w:jc w:val="center"/>
            </w:pPr>
            <w:r>
              <w:rPr>
                <w:rFonts w:ascii="Arial" w:hAnsi="Arial"/>
                <w:b/>
                <w:color w:val="000000"/>
                <w:sz w:val="14"/>
              </w:rPr>
              <w:t>Wall Thickness</w:t>
            </w:r>
          </w:p>
        </w:tc>
        <w:tc>
          <w:tcPr>
            <w:tcW w:type="dxa" w:w="1800"/>
            <w:vAlign w:val="center"/>
            <w:tcMar>
              <w:top w:w="45" w:type="dxa"/>
              <w:start w:w="50" w:type="dxa"/>
              <w:bottom w:w="45" w:type="dxa"/>
              <w:end w:w="50" w:type="dxa"/>
            </w:tcMar>
            <w:shd w:fill="D9E2F3"/>
          </w:tcPr>
          <w:p>
            <w:pPr>
              <w:spacing w:before="0" w:after="0" w:line="240" w:lineRule="auto"/>
              <w:jc w:val="center"/>
            </w:pPr>
            <w:r>
              <w:rPr>
                <w:rFonts w:ascii="Arial" w:hAnsi="Arial"/>
                <w:b/>
                <w:color w:val="000000"/>
                <w:sz w:val="14"/>
              </w:rPr>
              <w:t>Maximum Riser Height</w:t>
            </w:r>
          </w:p>
        </w:tc>
        <w:tc>
          <w:tcPr>
            <w:tcW w:type="dxa" w:w="1655"/>
            <w:vAlign w:val="center"/>
            <w:tcMar>
              <w:top w:w="45" w:type="dxa"/>
              <w:start w:w="50" w:type="dxa"/>
              <w:bottom w:w="45" w:type="dxa"/>
              <w:end w:w="50" w:type="dxa"/>
            </w:tcMar>
            <w:shd w:fill="D9E2F3"/>
          </w:tcPr>
          <w:p>
            <w:pPr>
              <w:spacing w:before="0" w:after="0" w:line="240" w:lineRule="auto"/>
              <w:jc w:val="center"/>
            </w:pPr>
            <w:r>
              <w:rPr>
                <w:rFonts w:ascii="Arial" w:hAnsi="Arial"/>
                <w:b/>
                <w:color w:val="000000"/>
                <w:sz w:val="14"/>
              </w:rPr>
              <w:t>Base Slab Thickness</w:t>
            </w:r>
          </w:p>
        </w:tc>
        <w:tc>
          <w:tcPr>
            <w:tcW w:type="dxa" w:w="1512"/>
            <w:vAlign w:val="center"/>
            <w:tcMar>
              <w:top w:w="45" w:type="dxa"/>
              <w:start w:w="50" w:type="dxa"/>
              <w:bottom w:w="45" w:type="dxa"/>
              <w:end w:w="50" w:type="dxa"/>
            </w:tcMar>
            <w:shd w:fill="D9E2F3"/>
          </w:tcPr>
          <w:p>
            <w:pPr>
              <w:spacing w:before="0" w:after="0" w:line="240" w:lineRule="auto"/>
              <w:jc w:val="center"/>
            </w:pPr>
            <w:r>
              <w:rPr>
                <w:rFonts w:ascii="Arial" w:hAnsi="Arial"/>
                <w:b/>
                <w:color w:val="000000"/>
                <w:sz w:val="14"/>
              </w:rPr>
              <w:t>Flat-Top Thickness</w:t>
            </w:r>
          </w:p>
        </w:tc>
        <w:tc>
          <w:tcPr>
            <w:tcW w:type="dxa" w:w="2015"/>
            <w:vAlign w:val="center"/>
            <w:tcMar>
              <w:top w:w="45" w:type="dxa"/>
              <w:start w:w="50" w:type="dxa"/>
              <w:bottom w:w="45" w:type="dxa"/>
              <w:end w:w="50" w:type="dxa"/>
            </w:tcMar>
            <w:shd w:fill="D9E2F3"/>
          </w:tcPr>
          <w:p>
            <w:pPr>
              <w:spacing w:before="0" w:after="0" w:line="240" w:lineRule="auto"/>
              <w:jc w:val="center"/>
            </w:pPr>
            <w:r>
              <w:rPr>
                <w:rFonts w:ascii="Arial" w:hAnsi="Arial"/>
                <w:b/>
                <w:color w:val="000000"/>
                <w:sz w:val="14"/>
              </w:rPr>
              <w:t>Average Cone Thickness</w:t>
            </w:r>
          </w:p>
        </w:tc>
      </w:tr>
      <w:tr>
        <w:trPr>
          <w:cantSplit/>
        </w:trPr>
        <w:tc>
          <w:tcPr>
            <w:tcW w:type="dxa" w:w="1368"/>
            <w:vAlign w:val="center"/>
            <w:tcMar>
              <w:top w:w="45" w:type="dxa"/>
              <w:start w:w="50" w:type="dxa"/>
              <w:bottom w:w="45" w:type="dxa"/>
              <w:end w:w="50" w:type="dxa"/>
            </w:tcMar>
          </w:tcPr>
          <w:p>
            <w:pPr>
              <w:spacing w:before="0" w:after="0" w:line="240" w:lineRule="auto"/>
              <w:jc w:val="left"/>
            </w:pPr>
            <w:r>
              <w:rPr>
                <w:rFonts w:ascii="Arial" w:hAnsi="Arial"/>
                <w:b w:val="0"/>
                <w:color w:val="000000"/>
                <w:sz w:val="14"/>
              </w:rPr>
              <w:t>48 inches</w:t>
            </w:r>
          </w:p>
        </w:tc>
        <w:tc>
          <w:tcPr>
            <w:tcW w:type="dxa" w:w="1440"/>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3 inches</w:t>
            </w:r>
          </w:p>
        </w:tc>
        <w:tc>
          <w:tcPr>
            <w:tcW w:type="dxa" w:w="1800"/>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84 inches</w:t>
            </w:r>
          </w:p>
        </w:tc>
        <w:tc>
          <w:tcPr>
            <w:tcW w:type="dxa" w:w="1655"/>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4 inches</w:t>
            </w:r>
          </w:p>
        </w:tc>
        <w:tc>
          <w:tcPr>
            <w:tcW w:type="dxa" w:w="1512"/>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5 inches</w:t>
            </w:r>
          </w:p>
        </w:tc>
        <w:tc>
          <w:tcPr>
            <w:tcW w:type="dxa" w:w="2015"/>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4 inches</w:t>
            </w:r>
          </w:p>
        </w:tc>
      </w:tr>
      <w:tr>
        <w:trPr>
          <w:cantSplit/>
        </w:trPr>
        <w:tc>
          <w:tcPr>
            <w:tcW w:type="dxa" w:w="1368"/>
            <w:vAlign w:val="center"/>
            <w:tcMar>
              <w:top w:w="45" w:type="dxa"/>
              <w:start w:w="50" w:type="dxa"/>
              <w:bottom w:w="45" w:type="dxa"/>
              <w:end w:w="50" w:type="dxa"/>
            </w:tcMar>
          </w:tcPr>
          <w:p>
            <w:pPr>
              <w:spacing w:before="0" w:after="0" w:line="240" w:lineRule="auto"/>
              <w:jc w:val="left"/>
            </w:pPr>
            <w:r>
              <w:rPr>
                <w:rFonts w:ascii="Arial" w:hAnsi="Arial"/>
                <w:b w:val="0"/>
                <w:color w:val="000000"/>
                <w:sz w:val="14"/>
              </w:rPr>
              <w:t>60 inches</w:t>
            </w:r>
          </w:p>
        </w:tc>
        <w:tc>
          <w:tcPr>
            <w:tcW w:type="dxa" w:w="1440"/>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3 inches</w:t>
            </w:r>
          </w:p>
        </w:tc>
        <w:tc>
          <w:tcPr>
            <w:tcW w:type="dxa" w:w="1800"/>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84 inches</w:t>
            </w:r>
          </w:p>
        </w:tc>
        <w:tc>
          <w:tcPr>
            <w:tcW w:type="dxa" w:w="1655"/>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4 inches</w:t>
            </w:r>
          </w:p>
        </w:tc>
        <w:tc>
          <w:tcPr>
            <w:tcW w:type="dxa" w:w="1512"/>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5 inches</w:t>
            </w:r>
          </w:p>
        </w:tc>
        <w:tc>
          <w:tcPr>
            <w:tcW w:type="dxa" w:w="2015"/>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4 inches</w:t>
            </w:r>
          </w:p>
        </w:tc>
      </w:tr>
      <w:tr>
        <w:trPr>
          <w:cantSplit/>
        </w:trPr>
        <w:tc>
          <w:tcPr>
            <w:tcW w:type="dxa" w:w="1368"/>
            <w:vAlign w:val="center"/>
            <w:tcMar>
              <w:top w:w="45" w:type="dxa"/>
              <w:start w:w="50" w:type="dxa"/>
              <w:bottom w:w="45" w:type="dxa"/>
              <w:end w:w="50" w:type="dxa"/>
            </w:tcMar>
          </w:tcPr>
          <w:p>
            <w:pPr>
              <w:spacing w:before="0" w:after="0" w:line="240" w:lineRule="auto"/>
              <w:jc w:val="left"/>
            </w:pPr>
            <w:r>
              <w:rPr>
                <w:rFonts w:ascii="Arial" w:hAnsi="Arial"/>
                <w:b w:val="0"/>
                <w:color w:val="000000"/>
                <w:sz w:val="14"/>
              </w:rPr>
              <w:t>72 inches</w:t>
            </w:r>
          </w:p>
        </w:tc>
        <w:tc>
          <w:tcPr>
            <w:tcW w:type="dxa" w:w="1440"/>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3 inches</w:t>
            </w:r>
          </w:p>
        </w:tc>
        <w:tc>
          <w:tcPr>
            <w:tcW w:type="dxa" w:w="1800"/>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84 inches</w:t>
            </w:r>
          </w:p>
        </w:tc>
        <w:tc>
          <w:tcPr>
            <w:tcW w:type="dxa" w:w="1655"/>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6 inches</w:t>
            </w:r>
          </w:p>
        </w:tc>
        <w:tc>
          <w:tcPr>
            <w:tcW w:type="dxa" w:w="1512"/>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6 inches</w:t>
            </w:r>
          </w:p>
        </w:tc>
        <w:tc>
          <w:tcPr>
            <w:tcW w:type="dxa" w:w="2015"/>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4 inches</w:t>
            </w:r>
          </w:p>
        </w:tc>
      </w:tr>
      <w:tr>
        <w:trPr>
          <w:cantSplit/>
        </w:trPr>
        <w:tc>
          <w:tcPr>
            <w:tcW w:type="dxa" w:w="1368"/>
            <w:vAlign w:val="center"/>
            <w:tcMar>
              <w:top w:w="45" w:type="dxa"/>
              <w:start w:w="50" w:type="dxa"/>
              <w:bottom w:w="45" w:type="dxa"/>
              <w:end w:w="50" w:type="dxa"/>
            </w:tcMar>
          </w:tcPr>
          <w:p>
            <w:pPr>
              <w:spacing w:before="0" w:after="0" w:line="240" w:lineRule="auto"/>
              <w:jc w:val="left"/>
            </w:pPr>
            <w:r>
              <w:rPr>
                <w:rFonts w:ascii="Arial" w:hAnsi="Arial"/>
                <w:b w:val="0"/>
                <w:color w:val="000000"/>
                <w:sz w:val="14"/>
              </w:rPr>
              <w:t>84 inches</w:t>
            </w:r>
          </w:p>
        </w:tc>
        <w:tc>
          <w:tcPr>
            <w:tcW w:type="dxa" w:w="1440"/>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4 inches</w:t>
            </w:r>
          </w:p>
        </w:tc>
        <w:tc>
          <w:tcPr>
            <w:tcW w:type="dxa" w:w="1800"/>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84 inches</w:t>
            </w:r>
          </w:p>
        </w:tc>
        <w:tc>
          <w:tcPr>
            <w:tcW w:type="dxa" w:w="1655"/>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6 inches</w:t>
            </w:r>
          </w:p>
        </w:tc>
        <w:tc>
          <w:tcPr>
            <w:tcW w:type="dxa" w:w="1512"/>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6 inches</w:t>
            </w:r>
          </w:p>
        </w:tc>
        <w:tc>
          <w:tcPr>
            <w:tcW w:type="dxa" w:w="2015"/>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N/A</w:t>
            </w:r>
          </w:p>
        </w:tc>
      </w:tr>
      <w:tr>
        <w:trPr>
          <w:cantSplit/>
        </w:trPr>
        <w:tc>
          <w:tcPr>
            <w:tcW w:type="dxa" w:w="1368"/>
            <w:vAlign w:val="center"/>
            <w:tcMar>
              <w:top w:w="45" w:type="dxa"/>
              <w:start w:w="50" w:type="dxa"/>
              <w:bottom w:w="45" w:type="dxa"/>
              <w:end w:w="50" w:type="dxa"/>
            </w:tcMar>
          </w:tcPr>
          <w:p>
            <w:pPr>
              <w:spacing w:before="0" w:after="0" w:line="240" w:lineRule="auto"/>
              <w:jc w:val="left"/>
            </w:pPr>
            <w:r>
              <w:rPr>
                <w:rFonts w:ascii="Arial" w:hAnsi="Arial"/>
                <w:b w:val="0"/>
                <w:color w:val="000000"/>
                <w:sz w:val="14"/>
              </w:rPr>
              <w:t>96 inches</w:t>
            </w:r>
          </w:p>
        </w:tc>
        <w:tc>
          <w:tcPr>
            <w:tcW w:type="dxa" w:w="1440"/>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4 inches</w:t>
            </w:r>
          </w:p>
        </w:tc>
        <w:tc>
          <w:tcPr>
            <w:tcW w:type="dxa" w:w="1800"/>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84 inches</w:t>
            </w:r>
          </w:p>
        </w:tc>
        <w:tc>
          <w:tcPr>
            <w:tcW w:type="dxa" w:w="1655"/>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6 inches</w:t>
            </w:r>
          </w:p>
        </w:tc>
        <w:tc>
          <w:tcPr>
            <w:tcW w:type="dxa" w:w="1512"/>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6 inches</w:t>
            </w:r>
          </w:p>
        </w:tc>
        <w:tc>
          <w:tcPr>
            <w:tcW w:type="dxa" w:w="2015"/>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N/A</w:t>
            </w:r>
          </w:p>
        </w:tc>
      </w:tr>
      <w:tr>
        <w:trPr>
          <w:cantSplit/>
        </w:trPr>
        <w:tc>
          <w:tcPr>
            <w:tcW w:type="dxa" w:w="1368"/>
            <w:vAlign w:val="center"/>
            <w:tcMar>
              <w:top w:w="45" w:type="dxa"/>
              <w:start w:w="50" w:type="dxa"/>
              <w:bottom w:w="45" w:type="dxa"/>
              <w:end w:w="50" w:type="dxa"/>
            </w:tcMar>
          </w:tcPr>
          <w:p>
            <w:pPr>
              <w:spacing w:before="0" w:after="0" w:line="240" w:lineRule="auto"/>
              <w:jc w:val="left"/>
            </w:pPr>
            <w:r>
              <w:rPr>
                <w:rFonts w:ascii="Arial" w:hAnsi="Arial"/>
                <w:b w:val="0"/>
                <w:color w:val="000000"/>
                <w:sz w:val="14"/>
              </w:rPr>
              <w:t>120 inches</w:t>
            </w:r>
          </w:p>
        </w:tc>
        <w:tc>
          <w:tcPr>
            <w:tcW w:type="dxa" w:w="1440"/>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5 inches</w:t>
            </w:r>
          </w:p>
        </w:tc>
        <w:tc>
          <w:tcPr>
            <w:tcW w:type="dxa" w:w="1800"/>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84 inches</w:t>
            </w:r>
          </w:p>
        </w:tc>
        <w:tc>
          <w:tcPr>
            <w:tcW w:type="dxa" w:w="1655"/>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8 inches</w:t>
            </w:r>
          </w:p>
        </w:tc>
        <w:tc>
          <w:tcPr>
            <w:tcW w:type="dxa" w:w="1512"/>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8 inches</w:t>
            </w:r>
          </w:p>
        </w:tc>
        <w:tc>
          <w:tcPr>
            <w:tcW w:type="dxa" w:w="2015"/>
            <w:vAlign w:val="center"/>
            <w:tcMar>
              <w:top w:w="45" w:type="dxa"/>
              <w:start w:w="50" w:type="dxa"/>
              <w:bottom w:w="45" w:type="dxa"/>
              <w:end w:w="50" w:type="dxa"/>
            </w:tcMar>
          </w:tcPr>
          <w:p>
            <w:pPr>
              <w:spacing w:before="0" w:after="0" w:line="240" w:lineRule="auto"/>
              <w:jc w:val="center"/>
            </w:pPr>
            <w:r>
              <w:rPr>
                <w:rFonts w:ascii="Arial" w:hAnsi="Arial"/>
                <w:b w:val="0"/>
                <w:color w:val="000000"/>
                <w:sz w:val="14"/>
              </w:rPr>
              <w:t>N/A</w:t>
            </w:r>
          </w:p>
        </w:tc>
      </w:tr>
    </w:tbl>
    <w:p>
      <w:pPr>
        <w:pStyle w:val="SpecAlpha"/>
        <w:spacing w:before="60"/>
      </w:pPr>
      <w:r>
        <w:rPr>
          <w:rFonts w:ascii="Arial" w:hAnsi="Arial"/>
          <w:color w:val="000000"/>
          <w:sz w:val="20"/>
        </w:rPr>
        <w:t>C. Bases: Cast base slab and lower wall monolithically. Provide factory-formed channels and benches unless otherwise indicated.</w:t>
      </w:r>
    </w:p>
    <w:p>
      <w:pPr>
        <w:pStyle w:val="SpecNumeric"/>
      </w:pPr>
      <w:r>
        <w:rPr>
          <w:rFonts w:ascii="Arial" w:hAnsi="Arial"/>
          <w:color w:val="000000"/>
          <w:sz w:val="20"/>
        </w:rPr>
        <w:t>1. Form channels to the cross section of connected pipes with smooth transitions through changes in size, grade, or direction.</w:t>
      </w:r>
    </w:p>
    <w:p>
      <w:pPr>
        <w:pStyle w:val="SpecNumeric"/>
      </w:pPr>
      <w:r>
        <w:rPr>
          <w:rFonts w:ascii="Arial" w:hAnsi="Arial"/>
          <w:color w:val="000000"/>
          <w:sz w:val="20"/>
        </w:rPr>
        <w:t>2. Slope benches toward channels at not less than 2 percent.</w:t>
      </w:r>
    </w:p>
    <w:p>
      <w:pPr>
        <w:pStyle w:val="SpecNumeric"/>
      </w:pPr>
      <w:r>
        <w:rPr>
          <w:rFonts w:ascii="Arial" w:hAnsi="Arial"/>
          <w:color w:val="000000"/>
          <w:sz w:val="20"/>
        </w:rPr>
        <w:t>3. Notwithstanding the bench dimension in ACI SPEC-548.17-25, provide bench height, measured from channel invert to top of bench, not less than 50 percent of the inside diameter of the largest connected pipe, unless the Drawings or hydraulic design require modification.</w:t>
      </w:r>
    </w:p>
    <w:p>
      <w:pPr>
        <w:pStyle w:val="SpecAlpha"/>
      </w:pPr>
      <w:r>
        <w:rPr>
          <w:rFonts w:ascii="Arial" w:hAnsi="Arial"/>
          <w:color w:val="000000"/>
          <w:sz w:val="20"/>
        </w:rPr>
        <w:t>D. Section Joints: Watertight, self-centering joints designed to prevent displacement under design loads. Provide resilient gasket joints complying with ASTM C443 or preformed flexible joint sealant complying with ASTM C990.</w:t>
      </w:r>
    </w:p>
    <w:p>
      <w:pPr>
        <w:pStyle w:val="SpecAlpha"/>
      </w:pPr>
      <w:r>
        <w:rPr>
          <w:rFonts w:ascii="Arial" w:hAnsi="Arial"/>
          <w:color w:val="000000"/>
          <w:sz w:val="20"/>
        </w:rPr>
        <w:t>E. Pipe Connections: Flexible, watertight connectors complying with ASTM C923, sized for pipe materials and outside diameters indicated. Integrally cast or manufacturer-qualified polymer mortar connections may be used where permitted by ACI SPEC-548.17-25 and accepted by Engineer.</w:t>
      </w:r>
    </w:p>
    <w:p>
      <w:pPr>
        <w:pStyle w:val="SpecAlpha"/>
      </w:pPr>
      <w:r>
        <w:rPr>
          <w:rFonts w:ascii="Arial" w:hAnsi="Arial"/>
          <w:color w:val="000000"/>
          <w:sz w:val="20"/>
        </w:rPr>
        <w:t>F. Repair Materials: Manufacturer's compatible, factory-packaged polymer repair system qualified for the intended substrate, exposure, and repair geometry.</w:t>
      </w:r>
    </w:p>
    <w:p>
      <w:pPr>
        <w:pStyle w:val="SpecAlpha"/>
      </w:pPr>
      <w:r>
        <w:rPr>
          <w:rFonts w:ascii="Arial" w:hAnsi="Arial"/>
          <w:color w:val="000000"/>
          <w:sz w:val="20"/>
        </w:rPr>
        <w:t>G. Marking: Permanently identify manufacturer, plant, date of manufacture, component identification, and orientation or match marks required for assembly.</w:t>
      </w:r>
    </w:p>
    <w:p>
      <w:pPr>
        <w:pStyle w:val="Heading2"/>
      </w:pPr>
      <w:r>
        <w:rPr>
          <w:rFonts w:ascii="Arial" w:hAnsi="Arial"/>
          <w:b/>
          <w:color w:val="000000"/>
          <w:sz w:val="20"/>
        </w:rPr>
        <w:t>2.5 FABRICATION</w:t>
      </w:r>
    </w:p>
    <w:p>
      <w:pPr>
        <w:pStyle w:val="SpecAlpha"/>
      </w:pPr>
      <w:r>
        <w:rPr>
          <w:rFonts w:ascii="Arial" w:hAnsi="Arial"/>
          <w:color w:val="000000"/>
          <w:sz w:val="20"/>
        </w:rPr>
        <w:t>A. Fabricate components to the dimensions and tolerances of ACI SPEC-548.17-25 and approved Shop Drawings.</w:t>
      </w:r>
    </w:p>
    <w:p>
      <w:pPr>
        <w:pStyle w:val="SpecAlpha"/>
      </w:pPr>
      <w:r>
        <w:rPr>
          <w:rFonts w:ascii="Arial" w:hAnsi="Arial"/>
          <w:color w:val="000000"/>
          <w:sz w:val="20"/>
        </w:rPr>
        <w:t>B. Nominal dimensions shown on approved Shop Drawings shall not be less than Table 1. Provide finished wall thickness not less than 95 percent of the thickness shown on approved Shop Drawings. Permitted negative fabrication tolerance shall not be used to establish a nominal Shop Drawing dimension below Table 1. Locate reinforcement within 10 percent of the wall thickness from its specified position.</w:t>
      </w:r>
    </w:p>
    <w:p>
      <w:pPr>
        <w:pStyle w:val="SpecAlpha"/>
      </w:pPr>
      <w:r>
        <w:rPr>
          <w:rFonts w:ascii="Arial" w:hAnsi="Arial"/>
          <w:color w:val="000000"/>
          <w:sz w:val="20"/>
        </w:rPr>
        <w:t>C. Provide mating ends square with the longitudinal axis, joint surfaces free of fins and projections, and surfaces free of cracks, delamination, exposed reinforcement, uncured material, and defects that impair strength, watertightness, or service life.</w:t>
      </w:r>
    </w:p>
    <w:p>
      <w:pPr>
        <w:pStyle w:val="Heading2"/>
      </w:pPr>
      <w:r>
        <w:rPr>
          <w:rFonts w:ascii="Arial" w:hAnsi="Arial"/>
          <w:b/>
          <w:color w:val="000000"/>
          <w:sz w:val="20"/>
        </w:rPr>
        <w:t>2.6 SOURCE QUALITY CONTROL</w:t>
      </w:r>
    </w:p>
    <w:p>
      <w:pPr>
        <w:pStyle w:val="SpecAlpha"/>
      </w:pPr>
      <w:r>
        <w:rPr>
          <w:rFonts w:ascii="Arial" w:hAnsi="Arial"/>
          <w:color w:val="000000"/>
          <w:sz w:val="20"/>
        </w:rPr>
        <w:t>A. Perform qualification and production testing in accordance with ACI SPEC-548.17-25. Maintain traceability of test results to production dates and components furnished.</w:t>
      </w:r>
    </w:p>
    <w:p>
      <w:pPr>
        <w:pStyle w:val="SpecAlpha"/>
      </w:pPr>
      <w:r>
        <w:rPr>
          <w:rFonts w:ascii="Arial" w:hAnsi="Arial"/>
          <w:color w:val="000000"/>
          <w:sz w:val="20"/>
        </w:rPr>
        <w:t>B. Test not fewer than two compressive-strength specimens for each polymer concrete mixture produced each day and whenever the resin lot or mixture proportions change. Test at 7 days in accordance with ASTM C579, Method C.</w:t>
      </w:r>
    </w:p>
    <w:p>
      <w:pPr>
        <w:pStyle w:val="SpecAlpha"/>
      </w:pPr>
      <w:r>
        <w:rPr>
          <w:rFonts w:ascii="Arial" w:hAnsi="Arial"/>
          <w:color w:val="000000"/>
          <w:sz w:val="20"/>
        </w:rPr>
        <w:t>C. Strength Compliance: Running average of three consecutive test results shall equal or exceed specified strength, and no individual test result shall be less than 90 percent of specified strength.</w:t>
      </w:r>
    </w:p>
    <w:p>
      <w:pPr>
        <w:pStyle w:val="SpecAlpha"/>
      </w:pPr>
      <w:r>
        <w:rPr>
          <w:rFonts w:ascii="Arial" w:hAnsi="Arial"/>
          <w:color w:val="000000"/>
          <w:sz w:val="20"/>
        </w:rPr>
        <w:t>D. Variations in color or surface texture and minor surface imperfections that do not affect strength, watertightness, dimensional tolerances, joint performance, or service life are cosmetic and are not cause for rejection.</w:t>
      </w:r>
    </w:p>
    <w:p>
      <w:pPr>
        <w:pStyle w:val="Heading1"/>
        <w:jc w:val="center"/>
      </w:pPr>
      <w:r>
        <w:rPr>
          <w:rFonts w:ascii="Arial" w:hAnsi="Arial"/>
          <w:b/>
          <w:color w:val="000000"/>
          <w:sz w:val="22"/>
        </w:rPr>
        <w:t>PART 3 - EXECUTION</w:t>
      </w:r>
    </w:p>
    <w:p>
      <w:pPr>
        <w:pStyle w:val="Heading2"/>
      </w:pPr>
      <w:r>
        <w:rPr>
          <w:rFonts w:ascii="Arial" w:hAnsi="Arial"/>
          <w:b/>
          <w:color w:val="000000"/>
          <w:sz w:val="20"/>
        </w:rPr>
        <w:t>3.1 EXAMINATION</w:t>
      </w:r>
    </w:p>
    <w:p>
      <w:pPr>
        <w:pStyle w:val="SpecAlpha"/>
      </w:pPr>
      <w:r>
        <w:rPr>
          <w:rFonts w:ascii="Arial" w:hAnsi="Arial"/>
          <w:color w:val="000000"/>
          <w:sz w:val="20"/>
        </w:rPr>
        <w:t>A. Verify excavation, foundation, groundwater control, pipe locations, and elevations are suitable before installation.</w:t>
      </w:r>
    </w:p>
    <w:p>
      <w:pPr>
        <w:pStyle w:val="SpecAlpha"/>
      </w:pPr>
      <w:r>
        <w:rPr>
          <w:rFonts w:ascii="Arial" w:hAnsi="Arial"/>
          <w:color w:val="000000"/>
          <w:sz w:val="20"/>
        </w:rPr>
        <w:t>B. Inspect components before lowering into the excavation. Do not install components with damage or contamination that could impair structural capacity or watertightness.</w:t>
      </w:r>
    </w:p>
    <w:p>
      <w:pPr>
        <w:pStyle w:val="SpecAlpha"/>
      </w:pPr>
      <w:r>
        <w:rPr>
          <w:rFonts w:ascii="Arial" w:hAnsi="Arial"/>
          <w:color w:val="000000"/>
          <w:sz w:val="20"/>
        </w:rPr>
        <w:t>C. Where a geotechnical report is not available, notify Engineer if soft, loose, organic, pumping, unstable, or otherwise unsuitable subgrade is encountered. Do not place manholes until corrective measures are provided.</w:t>
      </w:r>
    </w:p>
    <w:p>
      <w:pPr>
        <w:pStyle w:val="Heading2"/>
      </w:pPr>
      <w:r>
        <w:rPr>
          <w:rFonts w:ascii="Arial" w:hAnsi="Arial"/>
          <w:b/>
          <w:color w:val="000000"/>
          <w:sz w:val="20"/>
        </w:rPr>
        <w:t>3.2 INSTALLATION</w:t>
      </w:r>
    </w:p>
    <w:p>
      <w:pPr>
        <w:pStyle w:val="SpecAlpha"/>
      </w:pPr>
      <w:r>
        <w:rPr>
          <w:rFonts w:ascii="Arial" w:hAnsi="Arial"/>
          <w:color w:val="000000"/>
          <w:sz w:val="20"/>
        </w:rPr>
        <w:t>A. Install manholes at locations, elevations, and orientations indicated and in accordance with approved Shop Drawings and manufacturer's written instructions.</w:t>
      </w:r>
    </w:p>
    <w:p>
      <w:pPr>
        <w:pStyle w:val="SpecAlpha"/>
      </w:pPr>
      <w:r>
        <w:rPr>
          <w:rFonts w:ascii="Arial" w:hAnsi="Arial"/>
          <w:color w:val="000000"/>
          <w:sz w:val="20"/>
        </w:rPr>
        <w:t>B. Prepare stable, level foundation and bedding as indicated. Set base units uniformly supported over their full bearing area.</w:t>
      </w:r>
    </w:p>
    <w:p>
      <w:pPr>
        <w:pStyle w:val="SpecAlpha"/>
      </w:pPr>
      <w:r>
        <w:rPr>
          <w:rFonts w:ascii="Arial" w:hAnsi="Arial"/>
          <w:color w:val="000000"/>
          <w:sz w:val="20"/>
        </w:rPr>
        <w:t>C. Clean joint surfaces. Install gaskets, lubricant, sealants, and pipe connectors in accordance with their manufacturers' instructions. Seat sections fully and maintain uniform joint engagement.</w:t>
      </w:r>
    </w:p>
    <w:p>
      <w:pPr>
        <w:pStyle w:val="SpecAlpha"/>
      </w:pPr>
      <w:r>
        <w:rPr>
          <w:rFonts w:ascii="Arial" w:hAnsi="Arial"/>
          <w:color w:val="000000"/>
          <w:sz w:val="20"/>
        </w:rPr>
        <w:t>D. Install sections plumb and align channels with connecting pipes. Do not use wedges, impact loading, or unapproved field modifications to obtain alignment.</w:t>
      </w:r>
    </w:p>
    <w:p>
      <w:pPr>
        <w:pStyle w:val="SpecAlpha"/>
      </w:pPr>
      <w:r>
        <w:rPr>
          <w:rFonts w:ascii="Arial" w:hAnsi="Arial"/>
          <w:color w:val="000000"/>
          <w:sz w:val="20"/>
        </w:rPr>
        <w:t>E. Connect pipes without imposing shear, bending, or settlement loads on pipe connectors or manhole walls.</w:t>
      </w:r>
    </w:p>
    <w:p>
      <w:pPr>
        <w:pStyle w:val="SpecAlpha"/>
      </w:pPr>
      <w:r>
        <w:rPr>
          <w:rFonts w:ascii="Arial" w:hAnsi="Arial"/>
          <w:color w:val="000000"/>
          <w:sz w:val="20"/>
        </w:rPr>
        <w:t>F. Place and compact backfill uniformly around the structure in lifts. Prevent displacement, distortion, and damage to joints and pipe connections.</w:t>
      </w:r>
    </w:p>
    <w:p>
      <w:pPr>
        <w:pStyle w:val="SpecAlpha"/>
      </w:pPr>
      <w:r>
        <w:rPr>
          <w:rFonts w:ascii="Arial" w:hAnsi="Arial"/>
          <w:color w:val="000000"/>
          <w:sz w:val="20"/>
        </w:rPr>
        <w:t>G. Repair minor surface defects only with approved materials and procedures. Replace components having structural damage or defects that cannot be restored to specified performance.</w:t>
      </w:r>
    </w:p>
    <w:p>
      <w:pPr>
        <w:pStyle w:val="Heading2"/>
      </w:pPr>
      <w:r>
        <w:rPr>
          <w:rFonts w:ascii="Arial" w:hAnsi="Arial"/>
          <w:b/>
          <w:color w:val="000000"/>
          <w:sz w:val="20"/>
        </w:rPr>
        <w:t>3.3 FIELD QUALITY CONTROL</w:t>
      </w:r>
    </w:p>
    <w:p>
      <w:pPr>
        <w:pStyle w:val="SpecAlpha"/>
      </w:pPr>
      <w:r>
        <w:rPr>
          <w:rFonts w:ascii="Arial" w:hAnsi="Arial"/>
          <w:color w:val="000000"/>
          <w:sz w:val="20"/>
        </w:rPr>
        <w:t>A. Inspect completed manholes for alignment, cleanliness, joint seating, pipe-connector installation, and visible damage.</w:t>
      </w:r>
    </w:p>
    <w:p>
      <w:pPr>
        <w:pStyle w:val="SpecAlpha"/>
      </w:pPr>
      <w:r>
        <w:rPr>
          <w:rFonts w:ascii="Arial" w:hAnsi="Arial"/>
          <w:color w:val="000000"/>
          <w:sz w:val="20"/>
        </w:rPr>
        <w:t>B. Watertightness Test: [Test each sanitary-sewer manhole before backfill by the negative-air-pressure method of ASTM C1244.] [Test in accordance with Section ______.] [Field watertightness testing is not required.]</w:t>
      </w:r>
    </w:p>
    <w:p>
      <w:pPr>
        <w:pStyle w:val="SpecAlpha"/>
      </w:pPr>
      <w:r>
        <w:rPr>
          <w:rFonts w:ascii="Arial" w:hAnsi="Arial"/>
          <w:color w:val="000000"/>
          <w:sz w:val="20"/>
        </w:rPr>
        <w:t>C. Visible leakage is not permitted. Repair leaks using manufacturer-approved procedures and repeat testing until acceptable.</w:t>
      </w:r>
    </w:p>
    <w:p>
      <w:pPr>
        <w:pStyle w:val="Heading2"/>
      </w:pPr>
      <w:r>
        <w:rPr>
          <w:rFonts w:ascii="Arial" w:hAnsi="Arial"/>
          <w:b/>
          <w:color w:val="000000"/>
          <w:sz w:val="20"/>
        </w:rPr>
        <w:t>3.4 CLEANING AND PROTECTION</w:t>
      </w:r>
    </w:p>
    <w:p>
      <w:pPr>
        <w:pStyle w:val="SpecAlpha"/>
      </w:pPr>
      <w:r>
        <w:rPr>
          <w:rFonts w:ascii="Arial" w:hAnsi="Arial"/>
          <w:color w:val="000000"/>
          <w:sz w:val="20"/>
        </w:rPr>
        <w:t>A. Remove debris and foreign material from manholes and channels. Protect installed work from construction loads, contamination, and damage until acceptance.</w:t>
      </w:r>
    </w:p>
    <w:p>
      <w:pPr>
        <w:keepNext w:val="0"/>
        <w:keepLines/>
        <w:spacing w:before="0" w:after="0"/>
        <w:jc w:val="center"/>
      </w:pPr>
      <w:r>
        <w:rPr>
          <w:rFonts w:ascii="Arial" w:hAnsi="Arial"/>
          <w:b/>
          <w:color w:val="000000"/>
          <w:sz w:val="20"/>
        </w:rPr>
        <w:t>END OF SECTION</w:t>
      </w:r>
    </w:p>
    <w:sectPr w:rsidR="00FC693F" w:rsidRPr="0006063C" w:rsidSect="00034616">
      <w:footerReference w:type="default" r:id="rId9"/>
      <w:pgSz w:w="12240" w:h="15840"/>
      <w:pgMar w:top="1080" w:right="1152" w:bottom="1080" w:left="1152"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rial" w:hAnsi="Arial"/>
        <w:color w:val="000000"/>
        <w:sz w:val="16"/>
      </w:rPr>
      <w:fldChar w:fldCharType="begin"/>
      <w:instrText xml:space="preserve"> PAGE </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40" w:line="240" w:lineRule="auto"/>
    </w:pPr>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rial" w:hAnsi="Arial"/>
      <w:b/>
      <w:bCs/>
      <w:color w:val="000000"/>
      <w:sz w:val="22"/>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rial" w:hAnsi="Arial"/>
      <w:b/>
      <w:bCs/>
      <w:color w:val="000000"/>
      <w:sz w:val="20"/>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Arial" w:hAnsi="Arial"/>
      <w:b/>
      <w:bCs/>
      <w:color w:val="000000"/>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cAlpha">
    <w:name w:val="Spec Alpha"/>
    <w:basedOn w:val="Normal"/>
    <w:pPr>
      <w:spacing w:after="10" w:line="240" w:lineRule="auto"/>
      <w:ind w:left="360" w:hanging="360"/>
    </w:pPr>
    <w:rPr>
      <w:rFonts w:ascii="Arial" w:hAnsi="Arial"/>
      <w:sz w:val="20"/>
    </w:rPr>
  </w:style>
  <w:style w:type="paragraph" w:customStyle="1" w:styleId="SpecNumeric">
    <w:name w:val="Spec Numeric"/>
    <w:basedOn w:val="Normal"/>
    <w:pPr>
      <w:spacing w:after="10" w:line="240" w:lineRule="auto"/>
      <w:ind w:left="792" w:hanging="360"/>
    </w:pPr>
    <w:rPr>
      <w:rFonts w:ascii="Arial" w:hAnsi="Arial"/>
      <w:sz w:val="20"/>
    </w:rPr>
  </w:style>
  <w:style w:type="paragraph" w:customStyle="1" w:styleId="SpecLower">
    <w:name w:val="Spec Lower"/>
    <w:basedOn w:val="Normal"/>
    <w:pPr>
      <w:spacing w:after="10" w:line="240" w:lineRule="auto"/>
      <w:ind w:left="1224" w:hanging="360"/>
    </w:pPr>
    <w:rPr>
      <w:rFonts w:ascii="Arial" w:hAnsi="Arial"/>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33 05 61 - Precast Polymer Concrete Manholes</dc:title>
  <dc:subject>Engineer-ready P3 Polymers project specification</dc:subject>
  <dc:creator>P3 Polymers, LLC</dc:creator>
  <cp:keywords>polymer concrete, manhole, specification, Division 33</cp:keywords>
  <dc:description>generated by python-docx</dc:description>
  <cp:lastModifiedBy/>
  <cp:revision>1</cp:revision>
  <dcterms:created xsi:type="dcterms:W3CDTF">2013-12-23T23:15:00Z</dcterms:created>
  <dcterms:modified xsi:type="dcterms:W3CDTF">2013-12-23T23:15:00Z</dcterms:modified>
  <cp:category/>
</cp:coreProperties>
</file>