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0" w:after="280"/>
        <w:jc w:val="center"/>
      </w:pPr>
      <w:r>
        <w:rPr>
          <w:rFonts w:ascii="Calibri" w:hAnsi="Calibri"/>
          <w:b/>
          <w:color w:val="2E74B5"/>
          <w:sz w:val="20"/>
        </w:rPr>
        <w:t>P3 POLYMERS | TECHNICAL REFERENCE</w:t>
      </w:r>
    </w:p>
    <w:p>
      <w:pPr>
        <w:spacing w:after="160"/>
        <w:jc w:val="center"/>
      </w:pPr>
      <w:r>
        <w:rPr>
          <w:rFonts w:ascii="Calibri" w:hAnsi="Calibri"/>
          <w:b/>
          <w:color w:val="1F4D78"/>
          <w:sz w:val="56"/>
        </w:rPr>
        <w:t>Specification Commentary</w:t>
      </w:r>
    </w:p>
    <w:p>
      <w:pPr>
        <w:spacing w:after="80"/>
        <w:jc w:val="center"/>
      </w:pPr>
      <w:r>
        <w:rPr>
          <w:rFonts w:ascii="Calibri" w:hAnsi="Calibri"/>
          <w:b/>
          <w:color w:val="2E74B5"/>
          <w:sz w:val="34"/>
        </w:rPr>
        <w:t>Circular Precast Polymer Concrete Manholes</w:t>
      </w:r>
    </w:p>
    <w:p>
      <w:pPr>
        <w:spacing w:after="680"/>
        <w:jc w:val="center"/>
        <w:pBdr>
          <w:bottom w:val="single" w:sz="10" w:space="12" w:color="2E74B5"/>
        </w:pBdr>
      </w:pPr>
      <w:r>
        <w:rPr>
          <w:rFonts w:ascii="Calibri" w:hAnsi="Calibri"/>
          <w:i/>
          <w:color w:val="646B73"/>
          <w:sz w:val="23"/>
        </w:rPr>
        <w:t>Clause-by-clause rationale, source basis, alternatives, evidence, and further reading</w:t>
      </w:r>
    </w:p>
    <w:p>
      <w:pPr>
        <w:spacing w:before="480" w:after="100"/>
        <w:jc w:val="center"/>
      </w:pPr>
      <w:r>
        <w:rPr>
          <w:rFonts w:ascii="Calibri" w:hAnsi="Calibri"/>
          <w:b/>
          <w:color w:val="646B73"/>
          <w:sz w:val="18"/>
        </w:rPr>
        <w:t>COMPANION DOCUMENT</w:t>
      </w:r>
    </w:p>
    <w:p>
      <w:pPr>
        <w:spacing w:after="80"/>
        <w:jc w:val="center"/>
      </w:pPr>
      <w:r>
        <w:rPr>
          <w:rFonts w:ascii="Calibri" w:hAnsi="Calibri"/>
          <w:b/>
          <w:color w:val="1F4D78"/>
          <w:sz w:val="24"/>
        </w:rPr>
        <w:t>Section 33 05 61 - Precast Polymer Concrete Manholes</w:t>
      </w:r>
    </w:p>
    <w:p>
      <w:pPr>
        <w:spacing w:after="720"/>
        <w:jc w:val="center"/>
      </w:pPr>
      <w:r>
        <w:rPr>
          <w:rFonts w:ascii="Calibri" w:hAnsi="Calibri"/>
          <w:color w:val="646B73"/>
          <w:sz w:val="21"/>
        </w:rPr>
        <w:t>August 2026</w:t>
      </w:r>
    </w:p>
    <w:p>
      <w:pPr>
        <w:spacing w:before="400" w:after="0"/>
        <w:ind w:left="792" w:right="792"/>
        <w:jc w:val="center"/>
        <w:shd w:fill="E8EEF5"/>
      </w:pPr>
      <w:r>
        <w:rPr>
          <w:rFonts w:ascii="Calibri" w:hAnsi="Calibri"/>
          <w:i w:val="0"/>
          <w:color w:val="1F4D78"/>
          <w:sz w:val="20"/>
        </w:rPr>
        <w:t>Prepared for engineers, utility owners, reviewers, contractors, and product-evaluation personnel. This commentary is explanatory and noncontractual.</w:t>
      </w:r>
    </w:p>
    <w:p>
      <w:r>
        <w:br w:type="page"/>
      </w:r>
    </w:p>
    <w:p>
      <w:pPr>
        <w:pStyle w:val="Heading1"/>
        <w:spacing w:before="0"/>
      </w:pPr>
      <w:r>
        <w:t>Guide Map</w:t>
      </w:r>
    </w:p>
    <w:p>
      <w:pPr>
        <w:pStyle w:val="ListBullet"/>
      </w:pPr>
      <w:r>
        <w:rPr>
          <w:rFonts w:ascii="Calibri" w:hAnsi="Calibri"/>
          <w:i w:val="0"/>
          <w:color w:val="000000"/>
          <w:sz w:val="21"/>
        </w:rPr>
        <w:t>0 - Purpose, source hierarchy, reference register, and requirement classification</w:t>
      </w:r>
    </w:p>
    <w:p>
      <w:pPr>
        <w:pStyle w:val="ListBullet"/>
      </w:pPr>
      <w:r>
        <w:rPr>
          <w:rFonts w:ascii="Calibri" w:hAnsi="Calibri"/>
          <w:i w:val="0"/>
          <w:color w:val="000000"/>
          <w:sz w:val="21"/>
        </w:rPr>
        <w:t>Part 1 - General: scope, standards, submittals, QA, handling, and warranty</w:t>
      </w:r>
    </w:p>
    <w:p>
      <w:pPr>
        <w:pStyle w:val="ListBullet"/>
      </w:pPr>
      <w:r>
        <w:rPr>
          <w:rFonts w:ascii="Calibri" w:hAnsi="Calibri"/>
          <w:i w:val="0"/>
          <w:color w:val="000000"/>
          <w:sz w:val="21"/>
        </w:rPr>
        <w:t>Part 2 - Products: design, materials, components, fabrication, and source QC</w:t>
      </w:r>
    </w:p>
    <w:p>
      <w:pPr>
        <w:pStyle w:val="ListBullet"/>
      </w:pPr>
      <w:r>
        <w:rPr>
          <w:rFonts w:ascii="Calibri" w:hAnsi="Calibri"/>
          <w:i w:val="0"/>
          <w:color w:val="000000"/>
          <w:sz w:val="21"/>
        </w:rPr>
        <w:t>Part 3 - Execution: examination, installation, field testing, and protection</w:t>
      </w:r>
    </w:p>
    <w:p>
      <w:pPr>
        <w:pStyle w:val="ListBullet"/>
      </w:pPr>
      <w:r>
        <w:rPr>
          <w:rFonts w:ascii="Calibri" w:hAnsi="Calibri"/>
          <w:i w:val="0"/>
          <w:color w:val="000000"/>
          <w:sz w:val="21"/>
        </w:rPr>
        <w:t>Appendix A - Requirement origin map</w:t>
      </w:r>
    </w:p>
    <w:p>
      <w:pPr>
        <w:pStyle w:val="ListBullet"/>
      </w:pPr>
      <w:r>
        <w:rPr>
          <w:rFonts w:ascii="Calibri" w:hAnsi="Calibri"/>
          <w:i w:val="0"/>
          <w:color w:val="000000"/>
          <w:sz w:val="21"/>
        </w:rPr>
        <w:t>Appendix B - Common specifier questions</w:t>
      </w:r>
    </w:p>
    <w:p>
      <w:pPr>
        <w:pStyle w:val="ListBullet"/>
      </w:pPr>
      <w:r>
        <w:rPr>
          <w:rFonts w:ascii="Calibri" w:hAnsi="Calibri"/>
          <w:i w:val="0"/>
          <w:color w:val="000000"/>
          <w:sz w:val="21"/>
        </w:rPr>
        <w:t>Appendix C - Further reading</w:t>
      </w:r>
    </w:p>
    <w:p>
      <w:pPr>
        <w:pStyle w:val="ListBullet"/>
      </w:pPr>
      <w:r>
        <w:rPr>
          <w:rFonts w:ascii="Calibri" w:hAnsi="Calibri"/>
          <w:i w:val="0"/>
          <w:color w:val="000000"/>
          <w:sz w:val="21"/>
        </w:rPr>
        <w:t>Appendix D - Specification issue and maintenance checklist</w:t>
      </w:r>
    </w:p>
    <w:p>
      <w:pPr>
        <w:spacing w:before="160" w:after="320"/>
        <w:shd w:fill="FFF4D6"/>
      </w:pPr>
      <w:r>
        <w:rPr>
          <w:rFonts w:ascii="Calibri" w:hAnsi="Calibri"/>
          <w:i w:val="0"/>
          <w:color w:val="1F4D78"/>
          <w:sz w:val="20"/>
        </w:rPr>
        <w:t>Reading convention: quoted text is the companion specification language or a faithful shorthand. ‘Basis’ identifies authority; ‘Why not’ records alternatives; ‘Further reading’ points to an official standard, independent industry guidance, or research source.</w:t>
      </w:r>
    </w:p>
    <w:p>
      <w:pPr>
        <w:pStyle w:val="Heading2"/>
      </w:pPr>
      <w:r>
        <w:t>0.1 PURPOSE AND USE</w:t>
      </w:r>
    </w:p>
    <w:p>
      <w:r>
        <w:rPr>
          <w:rFonts w:ascii="Calibri" w:hAnsi="Calibri"/>
          <w:i w:val="0"/>
          <w:color w:val="000000"/>
          <w:sz w:val="22"/>
        </w:rPr>
        <w:t>This guide answers four questions for every substantive requirement in the companion specification: what problem the line solves; what consensus standard, published research, established practice, or engineering principle supports it; why the selected approach was preferred to common alternatives; and where a reviewer can investigate further. It also identifies provisions that are consensus minimums, specification enhancements, project-design assumptions, or commercial terms.</w:t>
      </w:r>
    </w:p>
    <w:p>
      <w:r>
        <w:rPr>
          <w:rFonts w:ascii="Calibri" w:hAnsi="Calibri"/>
          <w:i w:val="0"/>
          <w:color w:val="000000"/>
          <w:sz w:val="22"/>
        </w:rPr>
        <w:t>The commentary deliberately separates evidence types. ACI and ASTM documents are consensus authorities. A sealed calculation establishes adequacy for a particular project. Qualification testing demonstrates that a proposed product meets the contract requirements but does not create the rationale for those requirements. Industry norms can demonstrate familiarity and constructability but do not prove technical correctness. Research explains mechanisms and informs judgment but normally does not create a contract requirement by itself.</w:t>
      </w:r>
    </w:p>
    <w:p>
      <w:pPr>
        <w:pStyle w:val="Heading2"/>
      </w:pPr>
      <w:r>
        <w:t>0.2 SOURCE HIERARCHY</w:t>
      </w:r>
    </w:p>
    <w:p>
      <w:pPr>
        <w:pStyle w:val="ListNumber"/>
      </w:pPr>
      <w:r>
        <w:rPr>
          <w:rFonts w:ascii="Calibri" w:hAnsi="Calibri"/>
          <w:i w:val="0"/>
          <w:color w:val="000000"/>
          <w:sz w:val="22"/>
        </w:rPr>
        <w:t>Applicable law, adopted codes, and the Contract Documents.</w:t>
      </w:r>
    </w:p>
    <w:p>
      <w:pPr>
        <w:pStyle w:val="ListNumber"/>
      </w:pPr>
      <w:r>
        <w:rPr>
          <w:rFonts w:ascii="Calibri" w:hAnsi="Calibri"/>
          <w:i w:val="0"/>
          <w:color w:val="000000"/>
          <w:sz w:val="22"/>
        </w:rPr>
        <w:t>ACI SPEC-548.17-25, the first product-specific consensus specification for circular precast reinforced polymer-concrete manholes.</w:t>
      </w:r>
    </w:p>
    <w:p>
      <w:pPr>
        <w:pStyle w:val="ListNumber"/>
      </w:pPr>
      <w:r>
        <w:rPr>
          <w:rFonts w:ascii="Calibri" w:hAnsi="Calibri"/>
          <w:i w:val="0"/>
          <w:color w:val="000000"/>
          <w:sz w:val="22"/>
        </w:rPr>
        <w:t>Current editions of the ASTM test, joint, connector, loading, and field-test standards incorporated by the project.</w:t>
      </w:r>
    </w:p>
    <w:p>
      <w:pPr>
        <w:pStyle w:val="ListNumber"/>
      </w:pPr>
      <w:r>
        <w:rPr>
          <w:rFonts w:ascii="Calibri" w:hAnsi="Calibri"/>
          <w:i w:val="0"/>
          <w:color w:val="000000"/>
          <w:sz w:val="22"/>
        </w:rPr>
        <w:t>ACI CODE-350-20 and the project engineer's sealed structural design.</w:t>
      </w:r>
    </w:p>
    <w:p>
      <w:pPr>
        <w:pStyle w:val="ListNumber"/>
      </w:pPr>
      <w:r>
        <w:rPr>
          <w:rFonts w:ascii="Calibri" w:hAnsi="Calibri"/>
          <w:i w:val="0"/>
          <w:color w:val="000000"/>
          <w:sz w:val="22"/>
        </w:rPr>
        <w:t>Current independent qualification testing and traceable production quality-control records for the supplied formulation.</w:t>
      </w:r>
    </w:p>
    <w:p>
      <w:pPr>
        <w:pStyle w:val="ListNumber"/>
      </w:pPr>
      <w:r>
        <w:rPr>
          <w:rFonts w:ascii="Calibri" w:hAnsi="Calibri"/>
          <w:i w:val="0"/>
          <w:color w:val="000000"/>
          <w:sz w:val="22"/>
        </w:rPr>
        <w:t>Manufacturer standards and details that exceed the consensus minimum.</w:t>
      </w:r>
    </w:p>
    <w:p>
      <w:pPr>
        <w:pStyle w:val="ListNumber"/>
      </w:pPr>
      <w:r>
        <w:rPr>
          <w:rFonts w:ascii="Calibri" w:hAnsi="Calibri"/>
          <w:i w:val="0"/>
          <w:color w:val="000000"/>
          <w:sz w:val="22"/>
        </w:rPr>
        <w:t>Published research and independent industry guidance as explanatory and design-support material.</w:t>
      </w:r>
    </w:p>
    <w:p>
      <w:pPr>
        <w:pStyle w:val="SpecificationQuote"/>
        <w:shd w:fill="E8EEF5"/>
      </w:pPr>
      <w:r>
        <w:rPr>
          <w:rFonts w:ascii="Calibri" w:hAnsi="Calibri"/>
          <w:b/>
          <w:i/>
          <w:color w:val="1F4D78"/>
          <w:sz w:val="20"/>
        </w:rPr>
        <w:t>Edition control.</w:t>
      </w:r>
      <w:r>
        <w:rPr>
          <w:rFonts w:ascii="Calibri" w:hAnsi="Calibri"/>
          <w:i/>
          <w:color w:val="1F4D78"/>
          <w:sz w:val="20"/>
        </w:rPr>
        <w:t xml:space="preserve"> ASTM designations in the contract section intentionally omit dates unless a date is technically necessary. The specifier should verify the edition adopted by the project at issue. The commentary identifies editions current as of publication, but an active standard can change.</w:t>
      </w:r>
    </w:p>
    <w:p>
      <w:pPr>
        <w:pStyle w:val="Heading2"/>
      </w:pPr>
      <w:r>
        <w:t>0.3 PRINCIPAL REFERENCES</w:t>
      </w:r>
    </w:p>
    <w:p>
      <w:r>
        <w:rPr>
          <w:rFonts w:ascii="Calibri" w:hAnsi="Calibri"/>
          <w:b/>
          <w:i w:val="0"/>
          <w:color w:val="000000"/>
          <w:sz w:val="22"/>
        </w:rPr>
        <w:t>ACI-17.</w:t>
      </w:r>
      <w:r>
        <w:rPr>
          <w:rFonts w:ascii="Calibri" w:hAnsi="Calibri"/>
          <w:i w:val="0"/>
          <w:color w:val="000000"/>
          <w:sz w:val="22"/>
        </w:rPr>
        <w:t xml:space="preserve"> ACI Committee 548, ACI SPEC-548.17-25, </w:t>
      </w:r>
      <w:r>
        <w:rPr>
          <w:rFonts w:ascii="Calibri" w:hAnsi="Calibri"/>
          <w:i/>
          <w:color w:val="000000"/>
          <w:sz w:val="22"/>
        </w:rPr>
        <w:t>Circular Precast Polymer-Concrete Manholes—Specification</w:t>
      </w:r>
      <w:r>
        <w:rPr>
          <w:rFonts w:ascii="Calibri" w:hAnsi="Calibri"/>
          <w:i w:val="0"/>
          <w:color w:val="000000"/>
          <w:sz w:val="22"/>
        </w:rPr>
        <w:t xml:space="preserve">. Direct product authority. Official catalog: </w:t>
      </w:r>
      <w:r>
        <w:rPr>
          <w:rFonts w:ascii="Calibri" w:hAnsi="Calibri"/>
          <w:color w:val="2E74B5"/>
          <w:sz w:val="21"/>
        </w:rPr>
        <w:t>https://www.concrete.org/store/productdetail.aspx?ItemID=5481725&amp;Language=English&amp;Units=US_Units</w:t>
      </w:r>
    </w:p>
    <w:p>
      <w:r>
        <w:rPr>
          <w:rFonts w:ascii="Calibri" w:hAnsi="Calibri"/>
          <w:b/>
          <w:i w:val="0"/>
          <w:color w:val="000000"/>
          <w:sz w:val="22"/>
        </w:rPr>
        <w:t>ACI-350.</w:t>
      </w:r>
      <w:r>
        <w:rPr>
          <w:rFonts w:ascii="Calibri" w:hAnsi="Calibri"/>
          <w:i w:val="0"/>
          <w:color w:val="000000"/>
          <w:sz w:val="22"/>
        </w:rPr>
        <w:t xml:space="preserve"> ACI Committee 350, ACI CODE-350-20, </w:t>
      </w:r>
      <w:r>
        <w:rPr>
          <w:rFonts w:ascii="Calibri" w:hAnsi="Calibri"/>
          <w:i/>
          <w:color w:val="000000"/>
          <w:sz w:val="22"/>
        </w:rPr>
        <w:t>Code Requirements for Environmental Engineering Concrete Structures</w:t>
      </w:r>
      <w:r>
        <w:rPr>
          <w:rFonts w:ascii="Calibri" w:hAnsi="Calibri"/>
          <w:i w:val="0"/>
          <w:color w:val="000000"/>
          <w:sz w:val="22"/>
        </w:rPr>
        <w:t xml:space="preserve">. Structural load combinations and environmental-structure context. Official catalog: </w:t>
      </w:r>
      <w:r>
        <w:rPr>
          <w:rFonts w:ascii="Calibri" w:hAnsi="Calibri"/>
          <w:color w:val="2E74B5"/>
          <w:sz w:val="21"/>
        </w:rPr>
        <w:t>https://www.concrete.org/store/productdetail.aspx?ItemID=350U20&amp;Language=English&amp;Units=US_Units</w:t>
      </w:r>
    </w:p>
    <w:p>
      <w:r>
        <w:rPr>
          <w:rFonts w:ascii="Calibri" w:hAnsi="Calibri"/>
          <w:b/>
          <w:i w:val="0"/>
          <w:color w:val="000000"/>
          <w:sz w:val="22"/>
        </w:rPr>
        <w:t>ACI-548.6.</w:t>
      </w:r>
      <w:r>
        <w:rPr>
          <w:rFonts w:ascii="Calibri" w:hAnsi="Calibri"/>
          <w:i w:val="0"/>
          <w:color w:val="000000"/>
          <w:sz w:val="22"/>
        </w:rPr>
        <w:t xml:space="preserve"> ACI Committee 548, ACI PRC-548.6-19, </w:t>
      </w:r>
      <w:r>
        <w:rPr>
          <w:rFonts w:ascii="Calibri" w:hAnsi="Calibri"/>
          <w:i/>
          <w:color w:val="000000"/>
          <w:sz w:val="22"/>
        </w:rPr>
        <w:t>Polymer Concrete: Guidelines for Structural Applications</w:t>
      </w:r>
      <w:r>
        <w:rPr>
          <w:rFonts w:ascii="Calibri" w:hAnsi="Calibri"/>
          <w:i w:val="0"/>
          <w:color w:val="000000"/>
          <w:sz w:val="22"/>
        </w:rPr>
        <w:t xml:space="preserve">. Background on material behavior, creep, temperature, and design. Official catalog: </w:t>
      </w:r>
      <w:r>
        <w:rPr>
          <w:rFonts w:ascii="Calibri" w:hAnsi="Calibri"/>
          <w:color w:val="2E74B5"/>
          <w:sz w:val="21"/>
        </w:rPr>
        <w:t>https://www.concrete.org/store/productdetail.aspx?ItemID=548619</w:t>
      </w:r>
    </w:p>
    <w:p>
      <w:r>
        <w:rPr>
          <w:rFonts w:ascii="Calibri" w:hAnsi="Calibri"/>
          <w:b/>
          <w:i w:val="0"/>
          <w:color w:val="000000"/>
          <w:sz w:val="22"/>
        </w:rPr>
        <w:t>ASTM.</w:t>
      </w:r>
      <w:r>
        <w:rPr>
          <w:rFonts w:ascii="Calibri" w:hAnsi="Calibri"/>
          <w:i w:val="0"/>
          <w:color w:val="000000"/>
          <w:sz w:val="22"/>
        </w:rPr>
        <w:t xml:space="preserve"> C267, C413, C443/C443M, C478/C478M, C579, C580, C857/C857M, C923/C923M, C990/C990M, C1244/C1244M, and D648. Official catalog search: </w:t>
      </w:r>
      <w:r>
        <w:rPr>
          <w:rFonts w:ascii="Calibri" w:hAnsi="Calibri"/>
          <w:color w:val="2E74B5"/>
          <w:sz w:val="21"/>
        </w:rPr>
        <w:t>https://www.astm.org/</w:t>
      </w:r>
    </w:p>
    <w:p>
      <w:r>
        <w:rPr>
          <w:rFonts w:ascii="Calibri" w:hAnsi="Calibri"/>
          <w:b/>
          <w:i w:val="0"/>
          <w:color w:val="000000"/>
          <w:sz w:val="22"/>
        </w:rPr>
        <w:t>ISO.</w:t>
      </w:r>
      <w:r>
        <w:rPr>
          <w:rFonts w:ascii="Calibri" w:hAnsi="Calibri"/>
          <w:i w:val="0"/>
          <w:color w:val="000000"/>
          <w:sz w:val="22"/>
        </w:rPr>
        <w:t xml:space="preserve"> ISO 9001, </w:t>
      </w:r>
      <w:r>
        <w:rPr>
          <w:rFonts w:ascii="Calibri" w:hAnsi="Calibri"/>
          <w:i/>
          <w:color w:val="000000"/>
          <w:sz w:val="22"/>
        </w:rPr>
        <w:t>Quality management systems - Requirements</w:t>
      </w:r>
      <w:r>
        <w:rPr>
          <w:rFonts w:ascii="Calibri" w:hAnsi="Calibri"/>
          <w:i w:val="0"/>
          <w:color w:val="000000"/>
          <w:sz w:val="22"/>
        </w:rPr>
        <w:t xml:space="preserve">. Official catalog: </w:t>
      </w:r>
      <w:r>
        <w:rPr>
          <w:rFonts w:ascii="Calibri" w:hAnsi="Calibri"/>
          <w:color w:val="2E74B5"/>
          <w:sz w:val="21"/>
        </w:rPr>
        <w:t>https://www.iso.org/standard/62085.html</w:t>
      </w:r>
    </w:p>
    <w:p>
      <w:pPr>
        <w:keepLines/>
      </w:pPr>
      <w:r>
        <w:rPr>
          <w:rFonts w:ascii="Calibri" w:hAnsi="Calibri"/>
          <w:b/>
          <w:i w:val="0"/>
          <w:color w:val="000000"/>
          <w:sz w:val="22"/>
        </w:rPr>
        <w:t>P3-WARRANTY.</w:t>
      </w:r>
      <w:r>
        <w:rPr>
          <w:rFonts w:ascii="Calibri" w:hAnsi="Calibri"/>
          <w:i w:val="0"/>
          <w:color w:val="000000"/>
          <w:sz w:val="22"/>
        </w:rPr>
        <w:t xml:space="preserve"> P3 Polymers Standard Warranty [issued commercial form].</w:t>
      </w:r>
    </w:p>
    <w:p>
      <w:r>
        <w:rPr>
          <w:rFonts w:ascii="Calibri" w:hAnsi="Calibri"/>
          <w:b/>
          <w:i w:val="0"/>
          <w:color w:val="000000"/>
          <w:sz w:val="22"/>
        </w:rPr>
        <w:t>RESEARCH.</w:t>
      </w:r>
      <w:r>
        <w:rPr>
          <w:rFonts w:ascii="Calibri" w:hAnsi="Calibri"/>
          <w:i w:val="0"/>
          <w:color w:val="000000"/>
          <w:sz w:val="22"/>
        </w:rPr>
        <w:t xml:space="preserve"> Fowler (1999), Kleweno (1994), Bedi et al. (2013), Sakhakarmi (2017), Genedy et al. (2018), Sokołowska and Woyciechowski (2018), Hodul et al. (2020), Bénéthuilière et al. (2020), and Józefiak and Michalczyk (2020).</w:t>
      </w:r>
    </w:p>
    <w:p>
      <w:pPr>
        <w:pStyle w:val="Heading2"/>
      </w:pPr>
      <w:r>
        <w:t>0.4 QUICK SPECIFIER DECISIONS</w:t>
      </w:r>
    </w:p>
    <w:p>
      <w:r>
        <w:rPr>
          <w:rFonts w:ascii="Calibri" w:hAnsi="Calibri"/>
          <w:i w:val="0"/>
          <w:color w:val="000000"/>
          <w:sz w:val="22"/>
        </w:rPr>
        <w:t>Before issuing the section, the specifier must coordinate the related-section numbers; verify manhole diameters, elevations, pipe penetrations, frame and cover loads, and maximum process temperature; identify any load exceeding ASTM C857 A-16; select the applicable field-watertightness route in 3.3.B; and confirm whether project geotechnical values supersede the baseline assumptions. The field-test routes are alternatives, not cumulative requirements.</w:t>
      </w:r>
    </w:p>
    <w:p>
      <w:pPr>
        <w:pStyle w:val="Heading2"/>
      </w:pPr>
      <w:r>
        <w:t>0.5 REQUIREMENT CLASSIFICATION</w:t>
      </w:r>
    </w:p>
    <w:p>
      <w:r>
        <w:rPr>
          <w:rFonts w:ascii="Calibri" w:hAnsi="Calibri"/>
          <w:i w:val="0"/>
          <w:color w:val="000000"/>
          <w:sz w:val="22"/>
        </w:rPr>
        <w:t>The specification combines consensus requirements, project-design assumptions, owner-selected requirements, and basis-of-design manufacturing geometry. Qualification testing demonstrates that a proposed product complies; sealed calculations establish project-specific structural adequacy. This commentary identifies the authority and purpose of each requirement without using one manufacturer's mixture design or historical test results as the technical rationale.</w:t>
      </w:r>
    </w:p>
    <w:p>
      <w:r>
        <w:rPr>
          <w:rFonts w:ascii="Calibri" w:hAnsi="Calibri"/>
          <w:i w:val="0"/>
          <w:color w:val="000000"/>
          <w:sz w:val="22"/>
        </w:rPr>
        <w:t>The 10,000 psi compressive strength, 0.20 percent absorption limit, and complete 112-day chemical-resistance program are consensus requirements from ACI-17. The styrene-free vinyl-ester binder, steel-only reinforcement, C478-derived minimum reinforcement, and Table 1 manufacturing geometry are deliberate project or basis-of-design requirements. None eliminates sealed structural calculations, long-term stress checks, or project-specific exposure review.</w:t>
      </w:r>
    </w:p>
    <w:p>
      <w:pPr>
        <w:pStyle w:val="Heading1"/>
        <w:pageBreakBefore/>
      </w:pPr>
      <w:r>
        <w:t>PART 1 - GENERAL: COMMENTARY</w:t>
      </w:r>
    </w:p>
    <w:p>
      <w:pPr>
        <w:pStyle w:val="Heading2"/>
      </w:pPr>
      <w:r>
        <w:t>C1.1 SUMMARY</w:t>
      </w:r>
    </w:p>
    <w:p>
      <w:pPr>
        <w:pStyle w:val="Heading3"/>
      </w:pPr>
      <w:r>
        <w:t>C1.1.A.1 Circular precast polymer concrete manholes</w:t>
      </w:r>
    </w:p>
    <w:p>
      <w:pPr>
        <w:pStyle w:val="SpecificationQuote"/>
        <w:shd w:fill="E8EEF5"/>
      </w:pPr>
      <w:r>
        <w:rPr>
          <w:rFonts w:ascii="Calibri" w:hAnsi="Calibri"/>
          <w:i/>
          <w:color w:val="1F4D78"/>
          <w:sz w:val="20"/>
        </w:rPr>
        <w:t>“Circular precast polymer concrete manholes.”</w:t>
      </w:r>
    </w:p>
    <w:p>
      <w:pPr>
        <w:keepLines/>
      </w:pPr>
      <w:r>
        <w:rPr>
          <w:rFonts w:ascii="Calibri" w:hAnsi="Calibri"/>
          <w:b/>
          <w:i w:val="0"/>
          <w:color w:val="000000"/>
          <w:sz w:val="22"/>
        </w:rPr>
        <w:t>Why it is here.</w:t>
      </w:r>
      <w:r>
        <w:rPr>
          <w:rFonts w:ascii="Calibri" w:hAnsi="Calibri"/>
          <w:i w:val="0"/>
          <w:color w:val="000000"/>
          <w:sz w:val="22"/>
        </w:rPr>
        <w:t xml:space="preserve"> This line confines the section to the geometry and product class covered directly by ACI-17. It tells the bidder that the work is a manufactured structural system, not a field-applied coating or a conventional manhole with a polymer liner.</w:t>
      </w:r>
    </w:p>
    <w:p>
      <w:pPr>
        <w:keepLines/>
      </w:pPr>
      <w:r>
        <w:rPr>
          <w:rFonts w:ascii="Calibri" w:hAnsi="Calibri"/>
          <w:b/>
          <w:i w:val="0"/>
          <w:color w:val="000000"/>
          <w:sz w:val="22"/>
        </w:rPr>
        <w:t>Basis.</w:t>
      </w:r>
      <w:r>
        <w:rPr>
          <w:rFonts w:ascii="Calibri" w:hAnsi="Calibri"/>
          <w:i w:val="0"/>
          <w:color w:val="000000"/>
          <w:sz w:val="22"/>
        </w:rPr>
        <w:t xml:space="preserve"> ACI-17 Sections 1 and 4. The six-digit MasterFormat-style section number places the work with common utility structures while retaining product-specific requirements.</w:t>
      </w:r>
    </w:p>
    <w:p>
      <w:pPr>
        <w:keepLines/>
      </w:pPr>
      <w:r>
        <w:rPr>
          <w:rFonts w:ascii="Calibri" w:hAnsi="Calibri"/>
          <w:b/>
          <w:i w:val="0"/>
          <w:color w:val="000000"/>
          <w:sz w:val="22"/>
        </w:rPr>
        <w:t>Why not broader language.</w:t>
      </w:r>
      <w:r>
        <w:rPr>
          <w:rFonts w:ascii="Calibri" w:hAnsi="Calibri"/>
          <w:i w:val="0"/>
          <w:color w:val="000000"/>
          <w:sz w:val="22"/>
        </w:rPr>
        <w:t xml:space="preserve"> Wet wells, rectangular vaults, tunnel shafts, and custom process structures can use polymer concrete, but ACI-17 does not automatically govern those geometries. Combining them under one unqualified compliance statement would overstate the standard's scope and obscure different load paths.</w:t>
      </w:r>
    </w:p>
    <w:p>
      <w:pPr>
        <w:keepLines/>
      </w:pPr>
      <w:r>
        <w:rPr>
          <w:rFonts w:ascii="Calibri" w:hAnsi="Calibri"/>
          <w:b/>
          <w:i w:val="0"/>
          <w:color w:val="000000"/>
          <w:sz w:val="22"/>
        </w:rPr>
        <w:t>Further reading.</w:t>
      </w:r>
      <w:r>
        <w:rPr>
          <w:rFonts w:ascii="Calibri" w:hAnsi="Calibri"/>
          <w:i w:val="0"/>
          <w:color w:val="000000"/>
          <w:sz w:val="22"/>
        </w:rPr>
        <w:t xml:space="preserve"> ACI-17 Sections 1 and 4; ASTM C478/C478M scope and component categories.</w:t>
      </w:r>
    </w:p>
    <w:p>
      <w:pPr>
        <w:pStyle w:val="Heading3"/>
      </w:pPr>
      <w:r>
        <w:t>C1.1.A.2 Included components</w:t>
      </w:r>
    </w:p>
    <w:p>
      <w:pPr>
        <w:pStyle w:val="SpecificationQuote"/>
        <w:shd w:fill="E8EEF5"/>
      </w:pPr>
      <w:r>
        <w:rPr>
          <w:rFonts w:ascii="Calibri" w:hAnsi="Calibri"/>
          <w:i/>
          <w:color w:val="1F4D78"/>
          <w:sz w:val="20"/>
        </w:rPr>
        <w:t>“Bases, risers, cones, transition sections, flat slabs, grade rings, factory-formed channels and benches, joints, and pipe connectors.”</w:t>
      </w:r>
    </w:p>
    <w:p>
      <w:pPr>
        <w:keepLines/>
      </w:pPr>
      <w:r>
        <w:rPr>
          <w:rFonts w:ascii="Calibri" w:hAnsi="Calibri"/>
          <w:b/>
          <w:i w:val="0"/>
          <w:color w:val="000000"/>
          <w:sz w:val="22"/>
        </w:rPr>
        <w:t>Why it is here.</w:t>
      </w:r>
      <w:r>
        <w:rPr>
          <w:rFonts w:ascii="Calibri" w:hAnsi="Calibri"/>
          <w:i w:val="0"/>
          <w:color w:val="000000"/>
          <w:sz w:val="22"/>
        </w:rPr>
        <w:t xml:space="preserve"> A manhole performs as a system. Listing interfaces prevents a supplier from treating the barrel as its only responsibility while joints, bases, openings, or internal hydraulics fall into an undocumented gap.</w:t>
      </w:r>
    </w:p>
    <w:p>
      <w:pPr>
        <w:keepLines/>
      </w:pPr>
      <w:r>
        <w:rPr>
          <w:rFonts w:ascii="Calibri" w:hAnsi="Calibri"/>
          <w:b/>
          <w:i w:val="0"/>
          <w:color w:val="000000"/>
          <w:sz w:val="22"/>
        </w:rPr>
        <w:t>Basis.</w:t>
      </w:r>
      <w:r>
        <w:rPr>
          <w:rFonts w:ascii="Calibri" w:hAnsi="Calibri"/>
          <w:i w:val="0"/>
          <w:color w:val="000000"/>
          <w:sz w:val="22"/>
        </w:rPr>
        <w:t xml:space="preserve"> ACI-17's ordering and manufacturing provisions; ASTM C478's familiar component taxonomy; and the industry norm of treating the manhole, joints, penetrations, and factory-formed hydraulics as one coordinated system.</w:t>
      </w:r>
    </w:p>
    <w:p>
      <w:pPr>
        <w:keepLines/>
      </w:pPr>
      <w:r>
        <w:rPr>
          <w:rFonts w:ascii="Calibri" w:hAnsi="Calibri"/>
          <w:b/>
          <w:i w:val="0"/>
          <w:color w:val="000000"/>
          <w:sz w:val="22"/>
        </w:rPr>
        <w:t>Why these items.</w:t>
      </w:r>
      <w:r>
        <w:rPr>
          <w:rFonts w:ascii="Calibri" w:hAnsi="Calibri"/>
          <w:i w:val="0"/>
          <w:color w:val="000000"/>
          <w:sz w:val="22"/>
        </w:rPr>
        <w:t xml:space="preserve"> The list includes load-carrying pieces, watertight interfaces, and factory-formed flow surfaces. Frames, covers, steps, coatings, and unrelated accessories remain in coordinated sections unless expressly specified.</w:t>
      </w:r>
    </w:p>
    <w:p>
      <w:pPr>
        <w:keepLines/>
      </w:pPr>
      <w:r>
        <w:rPr>
          <w:rFonts w:ascii="Calibri" w:hAnsi="Calibri"/>
          <w:b/>
          <w:i w:val="0"/>
          <w:color w:val="000000"/>
          <w:sz w:val="22"/>
        </w:rPr>
        <w:t>Further reading.</w:t>
      </w:r>
      <w:r>
        <w:rPr>
          <w:rFonts w:ascii="Calibri" w:hAnsi="Calibri"/>
          <w:i w:val="0"/>
          <w:color w:val="000000"/>
          <w:sz w:val="22"/>
        </w:rPr>
        <w:t xml:space="preserve"> ACI-17 Sections 4, 5, 9, and 15; ASTM C478/C478M product categories.</w:t>
      </w:r>
    </w:p>
    <w:p>
      <w:pPr>
        <w:pStyle w:val="Heading3"/>
      </w:pPr>
      <w:r>
        <w:t>C1.1.B.1 through B.3 Related requirements</w:t>
      </w:r>
    </w:p>
    <w:p>
      <w:pPr>
        <w:pStyle w:val="SpecificationQuote"/>
        <w:shd w:fill="E8EEF5"/>
      </w:pPr>
      <w:r>
        <w:rPr>
          <w:rFonts w:ascii="Calibri" w:hAnsi="Calibri"/>
          <w:i/>
          <w:color w:val="1F4D78"/>
          <w:sz w:val="20"/>
        </w:rPr>
        <w:t>Trenching; fill; and frames, covers, and accessories are assigned to related sections.</w:t>
      </w:r>
    </w:p>
    <w:p>
      <w:pPr>
        <w:keepLines/>
      </w:pPr>
      <w:r>
        <w:rPr>
          <w:rFonts w:ascii="Calibri" w:hAnsi="Calibri"/>
          <w:b/>
          <w:i w:val="0"/>
          <w:color w:val="000000"/>
          <w:sz w:val="22"/>
        </w:rPr>
        <w:t>Why it is here.</w:t>
      </w:r>
      <w:r>
        <w:rPr>
          <w:rFonts w:ascii="Calibri" w:hAnsi="Calibri"/>
          <w:i w:val="0"/>
          <w:color w:val="000000"/>
          <w:sz w:val="22"/>
        </w:rPr>
        <w:t xml:space="preserve"> Foundation, groundwater control, bedding, backfill, and access components materially affect performance but are normally controlled by the project earthwork and utility standards. Cross-references make ownership visible without duplicating potentially inconsistent requirements.</w:t>
      </w:r>
    </w:p>
    <w:p>
      <w:pPr>
        <w:keepLines/>
      </w:pPr>
      <w:r>
        <w:rPr>
          <w:rFonts w:ascii="Calibri" w:hAnsi="Calibri"/>
          <w:b/>
          <w:i w:val="0"/>
          <w:color w:val="000000"/>
          <w:sz w:val="22"/>
        </w:rPr>
        <w:t>Basis.</w:t>
      </w:r>
      <w:r>
        <w:rPr>
          <w:rFonts w:ascii="Calibri" w:hAnsi="Calibri"/>
          <w:i w:val="0"/>
          <w:color w:val="000000"/>
          <w:sz w:val="22"/>
        </w:rPr>
        <w:t xml:space="preserve"> ASTM C478 cautions that successful installed performance depends on product selection, foundation, backfill, and field care. Coordinating manhole work with earthwork and piping requirements is also an established construction-document practice.</w:t>
      </w:r>
    </w:p>
    <w:p>
      <w:pPr>
        <w:keepLines/>
      </w:pPr>
      <w:r>
        <w:rPr>
          <w:rFonts w:ascii="Calibri" w:hAnsi="Calibri"/>
          <w:b/>
          <w:i w:val="0"/>
          <w:color w:val="000000"/>
          <w:sz w:val="22"/>
        </w:rPr>
        <w:t>Why not restate everything.</w:t>
      </w:r>
      <w:r>
        <w:rPr>
          <w:rFonts w:ascii="Calibri" w:hAnsi="Calibri"/>
          <w:i w:val="0"/>
          <w:color w:val="000000"/>
          <w:sz w:val="22"/>
        </w:rPr>
        <w:t xml:space="preserve"> Repeating compaction, excavation safety, or frame requirements creates conflicts when one section is revised. Coordinate the cited related sections with the project manual; if no separate section exists, include the necessary requirement in this section before issue.</w:t>
      </w:r>
    </w:p>
    <w:p>
      <w:pPr>
        <w:keepLines/>
      </w:pPr>
      <w:r>
        <w:rPr>
          <w:rFonts w:ascii="Calibri" w:hAnsi="Calibri"/>
          <w:b/>
          <w:i w:val="0"/>
          <w:color w:val="000000"/>
          <w:sz w:val="22"/>
        </w:rPr>
        <w:t>Further reading.</w:t>
      </w:r>
      <w:r>
        <w:rPr>
          <w:rFonts w:ascii="Calibri" w:hAnsi="Calibri"/>
          <w:i w:val="0"/>
          <w:color w:val="000000"/>
          <w:sz w:val="22"/>
        </w:rPr>
        <w:t xml:space="preserve"> ASTM C478/C478M Scope Note 2; ASTM C1821/C1821M for conventional precast manhole installation context; project earthwork specifications.</w:t>
      </w:r>
    </w:p>
    <w:p>
      <w:pPr>
        <w:pStyle w:val="Heading2"/>
      </w:pPr>
      <w:r>
        <w:t>C1.2 REFERENCE STANDARDS</w:t>
      </w:r>
    </w:p>
    <w:p>
      <w:pPr>
        <w:pStyle w:val="Heading3"/>
      </w:pPr>
      <w:r>
        <w:t>C1.2.A Edition rule</w:t>
      </w:r>
    </w:p>
    <w:p>
      <w:pPr>
        <w:pStyle w:val="SpecificationQuote"/>
        <w:shd w:fill="E8EEF5"/>
      </w:pPr>
      <w:r>
        <w:rPr>
          <w:rFonts w:ascii="Calibri" w:hAnsi="Calibri"/>
          <w:i/>
          <w:color w:val="1F4D78"/>
          <w:sz w:val="20"/>
        </w:rPr>
        <w:t>“Comply with the latest adopted edition ... in effect on the date of the Contract Documents, unless a specific edition is indicated.”</w:t>
      </w:r>
    </w:p>
    <w:p>
      <w:pPr>
        <w:keepLines/>
      </w:pPr>
      <w:r>
        <w:rPr>
          <w:rFonts w:ascii="Calibri" w:hAnsi="Calibri"/>
          <w:b/>
          <w:i w:val="0"/>
          <w:color w:val="000000"/>
          <w:sz w:val="22"/>
        </w:rPr>
        <w:t>Why it is here.</w:t>
      </w:r>
      <w:r>
        <w:rPr>
          <w:rFonts w:ascii="Calibri" w:hAnsi="Calibri"/>
          <w:i w:val="0"/>
          <w:color w:val="000000"/>
          <w:sz w:val="22"/>
        </w:rPr>
        <w:t xml:space="preserve"> The phrase prevents an undated reference from silently changing after bid while still allowing the project to use the edition formally adopted when the contract is issued.</w:t>
      </w:r>
    </w:p>
    <w:p>
      <w:pPr>
        <w:keepLines/>
      </w:pPr>
      <w:r>
        <w:rPr>
          <w:rFonts w:ascii="Calibri" w:hAnsi="Calibri"/>
          <w:b/>
          <w:i w:val="0"/>
          <w:color w:val="000000"/>
          <w:sz w:val="22"/>
        </w:rPr>
        <w:t>Basis.</w:t>
      </w:r>
      <w:r>
        <w:rPr>
          <w:rFonts w:ascii="Calibri" w:hAnsi="Calibri"/>
          <w:i w:val="0"/>
          <w:color w:val="000000"/>
          <w:sz w:val="22"/>
        </w:rPr>
        <w:t xml:space="preserve"> Standard construction-specification practice. The word “adopted” matters: a newly published edition is not automatically the contractual edition if the owner or code has adopted another.</w:t>
      </w:r>
    </w:p>
    <w:p>
      <w:pPr>
        <w:keepLines/>
      </w:pPr>
      <w:r>
        <w:rPr>
          <w:rFonts w:ascii="Calibri" w:hAnsi="Calibri"/>
          <w:b/>
          <w:i w:val="0"/>
          <w:color w:val="000000"/>
          <w:sz w:val="22"/>
        </w:rPr>
        <w:t>Why not ‘latest edition’ alone.</w:t>
      </w:r>
      <w:r>
        <w:rPr>
          <w:rFonts w:ascii="Calibri" w:hAnsi="Calibri"/>
          <w:i w:val="0"/>
          <w:color w:val="000000"/>
          <w:sz w:val="22"/>
        </w:rPr>
        <w:t xml:space="preserve"> That phrase can create a moving target during procurement and construction. Specific ACI editions remain stated because they establish the governing technical framework for the section.</w:t>
      </w:r>
    </w:p>
    <w:p>
      <w:pPr>
        <w:keepLines/>
      </w:pPr>
      <w:r>
        <w:rPr>
          <w:rFonts w:ascii="Calibri" w:hAnsi="Calibri"/>
          <w:b/>
          <w:i w:val="0"/>
          <w:color w:val="000000"/>
          <w:sz w:val="22"/>
        </w:rPr>
        <w:t>Further reading.</w:t>
      </w:r>
      <w:r>
        <w:rPr>
          <w:rFonts w:ascii="Calibri" w:hAnsi="Calibri"/>
          <w:i w:val="0"/>
          <w:color w:val="000000"/>
          <w:sz w:val="22"/>
        </w:rPr>
        <w:t xml:space="preserve"> CSI specification-writing guidance; the project General Conditions; official ACI and ASTM catalogs.</w:t>
      </w:r>
    </w:p>
    <w:p>
      <w:pPr>
        <w:pStyle w:val="Heading3"/>
      </w:pPr>
      <w:r>
        <w:t>C1.2.B.1 ACI CODE-350-20</w:t>
      </w:r>
    </w:p>
    <w:p>
      <w:pPr>
        <w:pStyle w:val="SpecificationQuote"/>
        <w:shd w:fill="E8EEF5"/>
      </w:pPr>
      <w:r>
        <w:rPr>
          <w:rFonts w:ascii="Calibri" w:hAnsi="Calibri"/>
          <w:i/>
          <w:color w:val="1F4D78"/>
          <w:sz w:val="20"/>
        </w:rPr>
        <w:t>ACI CODE-350-20 is the structural code reference.</w:t>
      </w:r>
    </w:p>
    <w:p>
      <w:pPr>
        <w:keepLines/>
      </w:pPr>
      <w:r>
        <w:rPr>
          <w:rFonts w:ascii="Calibri" w:hAnsi="Calibri"/>
          <w:b/>
          <w:i w:val="0"/>
          <w:color w:val="000000"/>
          <w:sz w:val="22"/>
        </w:rPr>
        <w:t>Why it is here.</w:t>
      </w:r>
      <w:r>
        <w:rPr>
          <w:rFonts w:ascii="Calibri" w:hAnsi="Calibri"/>
          <w:i w:val="0"/>
          <w:color w:val="000000"/>
          <w:sz w:val="22"/>
        </w:rPr>
        <w:t xml:space="preserve"> Environmental structures have durability, liquid-containment, and loading concerns beyond ordinary building elements. ACI-350 supplies the factored load-combination framework referenced by ACI-17.</w:t>
      </w:r>
    </w:p>
    <w:p>
      <w:pPr>
        <w:keepLines/>
      </w:pPr>
      <w:r>
        <w:rPr>
          <w:rFonts w:ascii="Calibri" w:hAnsi="Calibri"/>
          <w:b/>
          <w:i w:val="0"/>
          <w:color w:val="000000"/>
          <w:sz w:val="22"/>
        </w:rPr>
        <w:t>Why not use ACI 318 alone.</w:t>
      </w:r>
      <w:r>
        <w:rPr>
          <w:rFonts w:ascii="Calibri" w:hAnsi="Calibri"/>
          <w:i w:val="0"/>
          <w:color w:val="000000"/>
          <w:sz w:val="22"/>
        </w:rPr>
        <w:t xml:space="preserve"> ACI 318 is foundational structural-concrete authority, but ACI-17 expressly points the manhole design toward ACI-350. ACI-350 is also the more recognizable environmental-engineering context. It does not replace ACI-17's polymer-specific rules.</w:t>
      </w:r>
    </w:p>
    <w:p>
      <w:pPr>
        <w:keepLines/>
      </w:pPr>
      <w:r>
        <w:rPr>
          <w:rFonts w:ascii="Calibri" w:hAnsi="Calibri"/>
          <w:b/>
          <w:i w:val="0"/>
          <w:color w:val="000000"/>
          <w:sz w:val="22"/>
        </w:rPr>
        <w:t>Further reading.</w:t>
      </w:r>
      <w:r>
        <w:rPr>
          <w:rFonts w:ascii="Calibri" w:hAnsi="Calibri"/>
          <w:i w:val="0"/>
          <w:color w:val="000000"/>
          <w:sz w:val="22"/>
        </w:rPr>
        <w:t xml:space="preserve"> ACI-17 Section 8; ACI CODE-350-20 and Commentary.</w:t>
      </w:r>
    </w:p>
    <w:p>
      <w:pPr>
        <w:pStyle w:val="Heading3"/>
      </w:pPr>
      <w:r>
        <w:t>C1.2.B.2 ACI SPEC-548.17-25</w:t>
      </w:r>
    </w:p>
    <w:p>
      <w:pPr>
        <w:pStyle w:val="SpecificationQuote"/>
        <w:shd w:fill="E8EEF5"/>
      </w:pPr>
      <w:r>
        <w:rPr>
          <w:rFonts w:ascii="Calibri" w:hAnsi="Calibri"/>
          <w:i/>
          <w:color w:val="1F4D78"/>
          <w:sz w:val="20"/>
        </w:rPr>
        <w:t>ACI SPEC-548.17-25 is the governing product specification.</w:t>
      </w:r>
    </w:p>
    <w:p>
      <w:pPr>
        <w:keepLines/>
      </w:pPr>
      <w:r>
        <w:rPr>
          <w:rFonts w:ascii="Calibri" w:hAnsi="Calibri"/>
          <w:b/>
          <w:i w:val="0"/>
          <w:color w:val="000000"/>
          <w:sz w:val="22"/>
        </w:rPr>
        <w:t>Why it is here.</w:t>
      </w:r>
      <w:r>
        <w:rPr>
          <w:rFonts w:ascii="Calibri" w:hAnsi="Calibri"/>
          <w:i w:val="0"/>
          <w:color w:val="000000"/>
          <w:sz w:val="22"/>
        </w:rPr>
        <w:t xml:space="preserve"> It addresses the exact product: circular precast reinforced polymer-concrete manholes. It ties together ordering information, mixture qualification, structural design, tolerances, QC, documentation, warranty, and marking.</w:t>
      </w:r>
    </w:p>
    <w:p>
      <w:pPr>
        <w:keepLines/>
      </w:pPr>
      <w:r>
        <w:rPr>
          <w:rFonts w:ascii="Calibri" w:hAnsi="Calibri"/>
          <w:b/>
          <w:i w:val="0"/>
          <w:color w:val="000000"/>
          <w:sz w:val="22"/>
        </w:rPr>
        <w:t>Why not rely primarily on ASTM C478 or D6783.</w:t>
      </w:r>
      <w:r>
        <w:rPr>
          <w:rFonts w:ascii="Calibri" w:hAnsi="Calibri"/>
          <w:i w:val="0"/>
          <w:color w:val="000000"/>
          <w:sz w:val="22"/>
        </w:rPr>
        <w:t xml:space="preserve"> C478 is for hydraulic-cement reinforced concrete manhole sections; D6783 is for polymer-concrete pipe. Both contain useful transferable concepts, but neither is as directly applicable as ACI-17. C478 is retained narrowly for steel reinforcement precedent.</w:t>
      </w:r>
    </w:p>
    <w:p>
      <w:pPr>
        <w:keepLines/>
      </w:pPr>
      <w:r>
        <w:rPr>
          <w:rFonts w:ascii="Calibri" w:hAnsi="Calibri"/>
          <w:b/>
          <w:i w:val="0"/>
          <w:color w:val="000000"/>
          <w:sz w:val="22"/>
        </w:rPr>
        <w:t>Further reading.</w:t>
      </w:r>
      <w:r>
        <w:rPr>
          <w:rFonts w:ascii="Calibri" w:hAnsi="Calibri"/>
          <w:i w:val="0"/>
          <w:color w:val="000000"/>
          <w:sz w:val="22"/>
        </w:rPr>
        <w:t xml:space="preserve"> ACI-17 official product page and preview.</w:t>
      </w:r>
    </w:p>
    <w:p>
      <w:pPr>
        <w:pStyle w:val="Heading3"/>
      </w:pPr>
      <w:r>
        <w:t>C1.2.C.1 ASTM C267</w:t>
      </w:r>
    </w:p>
    <w:p>
      <w:pPr>
        <w:keepLines/>
      </w:pPr>
      <w:r>
        <w:rPr>
          <w:rFonts w:ascii="Calibri" w:hAnsi="Calibri"/>
          <w:b/>
          <w:i w:val="0"/>
          <w:color w:val="000000"/>
          <w:sz w:val="22"/>
        </w:rPr>
        <w:t>Role.</w:t>
      </w:r>
      <w:r>
        <w:rPr>
          <w:rFonts w:ascii="Calibri" w:hAnsi="Calibri"/>
          <w:i w:val="0"/>
          <w:color w:val="000000"/>
          <w:sz w:val="22"/>
        </w:rPr>
        <w:t xml:space="preserve"> Laboratory method for exposing polymer concrete to specified chemicals and measuring changes. ACI-17 supplies the reagent set, duration, and acceptance limits; C267 does not create those limits by itself.</w:t>
      </w:r>
    </w:p>
    <w:p>
      <w:pPr>
        <w:keepLines/>
      </w:pPr>
      <w:r>
        <w:rPr>
          <w:rFonts w:ascii="Calibri" w:hAnsi="Calibri"/>
          <w:b/>
          <w:i w:val="0"/>
          <w:color w:val="000000"/>
          <w:sz w:val="22"/>
        </w:rPr>
        <w:t>Why not ASTM D543.</w:t>
      </w:r>
      <w:r>
        <w:rPr>
          <w:rFonts w:ascii="Calibri" w:hAnsi="Calibri"/>
          <w:i w:val="0"/>
          <w:color w:val="000000"/>
          <w:sz w:val="22"/>
        </w:rPr>
        <w:t xml:space="preserve"> D543 is useful for plastics, but C267 is written for chemical-resistant mortars, grouts, surfacings, and polymer concretes and is the method incorporated by ACI-17.</w:t>
      </w:r>
    </w:p>
    <w:p>
      <w:pPr>
        <w:keepLines/>
      </w:pPr>
      <w:r>
        <w:rPr>
          <w:rFonts w:ascii="Calibri" w:hAnsi="Calibri"/>
          <w:b/>
          <w:i w:val="0"/>
          <w:color w:val="000000"/>
          <w:sz w:val="22"/>
        </w:rPr>
        <w:t>Further reading.</w:t>
      </w:r>
      <w:r>
        <w:rPr>
          <w:rFonts w:ascii="Calibri" w:hAnsi="Calibri"/>
          <w:i w:val="0"/>
          <w:color w:val="000000"/>
          <w:sz w:val="22"/>
        </w:rPr>
        <w:t xml:space="preserve"> ASTM C267; ACI-17 Section 6.3; Sokołowska and Woyciechowski (2018).</w:t>
      </w:r>
    </w:p>
    <w:p>
      <w:pPr>
        <w:pStyle w:val="Heading3"/>
      </w:pPr>
      <w:r>
        <w:t>C1.2.C.2 ASTM C413</w:t>
      </w:r>
    </w:p>
    <w:p>
      <w:pPr>
        <w:keepLines/>
      </w:pPr>
      <w:r>
        <w:rPr>
          <w:rFonts w:ascii="Calibri" w:hAnsi="Calibri"/>
          <w:b/>
          <w:i w:val="0"/>
          <w:color w:val="000000"/>
          <w:sz w:val="22"/>
        </w:rPr>
        <w:t>Role.</w:t>
      </w:r>
      <w:r>
        <w:rPr>
          <w:rFonts w:ascii="Calibri" w:hAnsi="Calibri"/>
          <w:i w:val="0"/>
          <w:color w:val="000000"/>
          <w:sz w:val="22"/>
        </w:rPr>
        <w:t xml:space="preserve"> Polymer-concrete absorption method used by ACI-17. The 0.20 percent limit appears later in the section.</w:t>
      </w:r>
    </w:p>
    <w:p>
      <w:pPr>
        <w:keepLines/>
      </w:pPr>
      <w:r>
        <w:rPr>
          <w:rFonts w:ascii="Calibri" w:hAnsi="Calibri"/>
          <w:b/>
          <w:i w:val="0"/>
          <w:color w:val="000000"/>
          <w:sz w:val="22"/>
        </w:rPr>
        <w:t>Why not ASTM C497 absorption.</w:t>
      </w:r>
      <w:r>
        <w:rPr>
          <w:rFonts w:ascii="Calibri" w:hAnsi="Calibri"/>
          <w:i w:val="0"/>
          <w:color w:val="000000"/>
          <w:sz w:val="22"/>
        </w:rPr>
        <w:t xml:space="preserve"> C497 is associated with concrete pipe/manhole products and hydraulic-cement practice. C413 is the chemical-resistant-material method directly selected by ACI-17.</w:t>
      </w:r>
    </w:p>
    <w:p>
      <w:pPr>
        <w:keepLines/>
      </w:pPr>
      <w:r>
        <w:rPr>
          <w:rFonts w:ascii="Calibri" w:hAnsi="Calibri"/>
          <w:b/>
          <w:i w:val="0"/>
          <w:color w:val="000000"/>
          <w:sz w:val="22"/>
        </w:rPr>
        <w:t>Further reading.</w:t>
      </w:r>
      <w:r>
        <w:rPr>
          <w:rFonts w:ascii="Calibri" w:hAnsi="Calibri"/>
          <w:i w:val="0"/>
          <w:color w:val="000000"/>
          <w:sz w:val="22"/>
        </w:rPr>
        <w:t xml:space="preserve"> ASTM C413 Method C; ACI-17 Section 6.2.</w:t>
      </w:r>
    </w:p>
    <w:p>
      <w:pPr>
        <w:pStyle w:val="Heading3"/>
      </w:pPr>
      <w:r>
        <w:t>C1.2.C.3 ASTM C443</w:t>
      </w:r>
    </w:p>
    <w:p>
      <w:pPr>
        <w:keepLines/>
      </w:pPr>
      <w:r>
        <w:rPr>
          <w:rFonts w:ascii="Calibri" w:hAnsi="Calibri"/>
          <w:b/>
          <w:i w:val="0"/>
          <w:color w:val="000000"/>
          <w:sz w:val="22"/>
        </w:rPr>
        <w:t>Role.</w:t>
      </w:r>
      <w:r>
        <w:rPr>
          <w:rFonts w:ascii="Calibri" w:hAnsi="Calibri"/>
          <w:i w:val="0"/>
          <w:color w:val="000000"/>
          <w:sz w:val="22"/>
        </w:rPr>
        <w:t xml:space="preserve"> Performance and material framework for rubber-gasket joints in concrete pipe and manholes. It is one of two expressly acceptable section-joint systems.</w:t>
      </w:r>
    </w:p>
    <w:p>
      <w:r>
        <w:rPr>
          <w:rFonts w:ascii="Calibri" w:hAnsi="Calibri"/>
          <w:b/>
          <w:i w:val="0"/>
          <w:color w:val="000000"/>
          <w:sz w:val="22"/>
        </w:rPr>
        <w:t>Performance distinction.</w:t>
      </w:r>
      <w:r>
        <w:rPr>
          <w:rFonts w:ascii="Calibri" w:hAnsi="Calibri"/>
          <w:i w:val="0"/>
          <w:color w:val="000000"/>
          <w:sz w:val="22"/>
        </w:rPr>
        <w:t xml:space="preserve"> C443 is the rubber-gasket route used where infiltration or exfiltration is a design factor. The gasket and joint geometry must maintain the required compression around the full circumference, which makes joint tolerances, centering, cleanliness, and installation central to performance.</w:t>
      </w:r>
    </w:p>
    <w:p>
      <w:pPr>
        <w:keepLines/>
      </w:pPr>
      <w:r>
        <w:rPr>
          <w:rFonts w:ascii="Calibri" w:hAnsi="Calibri"/>
          <w:b/>
          <w:i w:val="0"/>
          <w:color w:val="000000"/>
          <w:sz w:val="22"/>
        </w:rPr>
        <w:t>Why not make it the only option.</w:t>
      </w:r>
      <w:r>
        <w:rPr>
          <w:rFonts w:ascii="Calibri" w:hAnsi="Calibri"/>
          <w:i w:val="0"/>
          <w:color w:val="000000"/>
          <w:sz w:val="22"/>
        </w:rPr>
        <w:t xml:space="preserve"> A properly designed C990 preformed-sealant joint is also a recognized vertical-manhole option when the complete joint is qualified for the project's watertightness requirement. NPCA guidance explains that the dead weight of vertically stacked sections helps home and maintain compression on the seal, while C443 gasket systems generally demand tighter control of the annular sealing geometry.</w:t>
      </w:r>
    </w:p>
    <w:p>
      <w:pPr>
        <w:keepLines/>
      </w:pPr>
      <w:r>
        <w:rPr>
          <w:rFonts w:ascii="Calibri" w:hAnsi="Calibri"/>
          <w:b/>
          <w:i w:val="0"/>
          <w:color w:val="000000"/>
          <w:sz w:val="22"/>
        </w:rPr>
        <w:t>Further reading.</w:t>
      </w:r>
      <w:r>
        <w:rPr>
          <w:rFonts w:ascii="Calibri" w:hAnsi="Calibri"/>
          <w:i w:val="0"/>
          <w:color w:val="000000"/>
          <w:sz w:val="22"/>
        </w:rPr>
        <w:t xml:space="preserve"> ASTM C443/C443M; NPCA, </w:t>
      </w:r>
      <w:r>
        <w:rPr>
          <w:rFonts w:ascii="Calibri" w:hAnsi="Calibri"/>
          <w:i/>
          <w:color w:val="000000"/>
          <w:sz w:val="22"/>
        </w:rPr>
        <w:t>Underground Structure Joints</w:t>
      </w:r>
      <w:r>
        <w:rPr>
          <w:rFonts w:ascii="Calibri" w:hAnsi="Calibri"/>
          <w:i w:val="0"/>
          <w:color w:val="000000"/>
          <w:sz w:val="22"/>
        </w:rPr>
        <w:t xml:space="preserve"> (2023), </w:t>
      </w:r>
      <w:r>
        <w:rPr>
          <w:rFonts w:ascii="Calibri" w:hAnsi="Calibri"/>
          <w:color w:val="2E74B5"/>
          <w:sz w:val="21"/>
        </w:rPr>
        <w:t>https://precast.org/precasttoday/q1-2023/underground-structure-joints/</w:t>
      </w:r>
      <w:r>
        <w:rPr>
          <w:rFonts w:ascii="Calibri" w:hAnsi="Calibri"/>
          <w:color w:val="000000"/>
          <w:sz w:val="22"/>
        </w:rPr>
        <w:t>;</w:t>
      </w:r>
      <w:r>
        <w:rPr>
          <w:rFonts w:ascii="Calibri" w:hAnsi="Calibri"/>
          <w:i w:val="0"/>
          <w:color w:val="000000"/>
          <w:sz w:val="22"/>
        </w:rPr>
        <w:t xml:space="preserve"> NPCA, </w:t>
      </w:r>
      <w:r>
        <w:rPr>
          <w:rFonts w:ascii="Calibri" w:hAnsi="Calibri"/>
          <w:i/>
          <w:color w:val="000000"/>
          <w:sz w:val="22"/>
        </w:rPr>
        <w:t>Watertight Manhole Joints</w:t>
      </w:r>
      <w:r>
        <w:rPr>
          <w:rFonts w:ascii="Calibri" w:hAnsi="Calibri"/>
          <w:i w:val="0"/>
          <w:color w:val="000000"/>
          <w:sz w:val="22"/>
        </w:rPr>
        <w:t xml:space="preserve"> (Tech Note, 2013), </w:t>
      </w:r>
      <w:r>
        <w:rPr>
          <w:rFonts w:ascii="Calibri" w:hAnsi="Calibri"/>
          <w:color w:val="2E74B5"/>
          <w:sz w:val="21"/>
        </w:rPr>
        <w:t>https://precast.org/wp-content/uploads/100323_Products_ManholeWatertightJointsTechNote.pdf</w:t>
      </w:r>
      <w:r>
        <w:rPr>
          <w:rFonts w:ascii="Calibri" w:hAnsi="Calibri"/>
          <w:color w:val="000000"/>
          <w:sz w:val="22"/>
        </w:rPr>
        <w:t>;</w:t>
      </w:r>
      <w:r>
        <w:rPr>
          <w:rFonts w:ascii="Calibri" w:hAnsi="Calibri"/>
          <w:i w:val="0"/>
          <w:color w:val="000000"/>
          <w:sz w:val="22"/>
        </w:rPr>
        <w:t xml:space="preserve"> and the selected joint manufacturer's published installation data.</w:t>
      </w:r>
    </w:p>
    <w:p>
      <w:pPr>
        <w:pStyle w:val="Heading3"/>
      </w:pPr>
      <w:r>
        <w:t>C1.2.C.4 ASTM C478</w:t>
      </w:r>
    </w:p>
    <w:p>
      <w:pPr>
        <w:keepLines/>
      </w:pPr>
      <w:r>
        <w:rPr>
          <w:rFonts w:ascii="Calibri" w:hAnsi="Calibri"/>
          <w:b/>
          <w:i w:val="0"/>
          <w:color w:val="000000"/>
          <w:sz w:val="22"/>
        </w:rPr>
        <w:t>Role.</w:t>
      </w:r>
      <w:r>
        <w:rPr>
          <w:rFonts w:ascii="Calibri" w:hAnsi="Calibri"/>
          <w:i w:val="0"/>
          <w:color w:val="000000"/>
          <w:sz w:val="22"/>
        </w:rPr>
        <w:t xml:space="preserve"> Manhole-specific precedent for the explicit reinforcement areas, spacing, cage stability, grade-ring reinforcement, floor reinforcement, and opening reinforcement stated in the project specification.</w:t>
      </w:r>
    </w:p>
    <w:p>
      <w:pPr>
        <w:keepLines/>
      </w:pPr>
      <w:r>
        <w:rPr>
          <w:rFonts w:ascii="Calibri" w:hAnsi="Calibri"/>
          <w:b/>
          <w:i w:val="0"/>
          <w:color w:val="000000"/>
          <w:sz w:val="22"/>
        </w:rPr>
        <w:t>Important limitation.</w:t>
      </w:r>
      <w:r>
        <w:rPr>
          <w:rFonts w:ascii="Calibri" w:hAnsi="Calibri"/>
          <w:i w:val="0"/>
          <w:color w:val="000000"/>
          <w:sz w:val="22"/>
        </w:rPr>
        <w:t xml:space="preserve"> The section does not make P3 polymer concrete comply with C478's Portland-cement mixture, curing, strength, absorption, or wall-thickness provisions. Only transferable reinforcement provisions are adapted.</w:t>
      </w:r>
    </w:p>
    <w:p>
      <w:pPr>
        <w:keepLines/>
      </w:pPr>
      <w:r>
        <w:rPr>
          <w:rFonts w:ascii="Calibri" w:hAnsi="Calibri"/>
          <w:b/>
          <w:i w:val="0"/>
          <w:color w:val="000000"/>
          <w:sz w:val="22"/>
        </w:rPr>
        <w:t>Why retained.</w:t>
      </w:r>
      <w:r>
        <w:rPr>
          <w:rFonts w:ascii="Calibri" w:hAnsi="Calibri"/>
          <w:i w:val="0"/>
          <w:color w:val="000000"/>
          <w:sz w:val="22"/>
        </w:rPr>
        <w:t xml:space="preserve"> Pure strength calculations can yield very little or even no reinforcement because polymer concrete has high mechanical strength. Minimum steel is nevertheless retained for handling, local discontinuities, crack control, robustness, and safety. C478 supplies established manhole-specific reinforcement areas and arrangements that ACI-350 alone does not.</w:t>
      </w:r>
    </w:p>
    <w:p>
      <w:pPr>
        <w:keepLines/>
      </w:pPr>
      <w:r>
        <w:rPr>
          <w:rFonts w:ascii="Calibri" w:hAnsi="Calibri"/>
          <w:b/>
          <w:i w:val="0"/>
          <w:color w:val="000000"/>
          <w:sz w:val="22"/>
        </w:rPr>
        <w:t>Further reading.</w:t>
      </w:r>
      <w:r>
        <w:rPr>
          <w:rFonts w:ascii="Calibri" w:hAnsi="Calibri"/>
          <w:i w:val="0"/>
          <w:color w:val="000000"/>
          <w:sz w:val="22"/>
        </w:rPr>
        <w:t xml:space="preserve"> ASTM C478/C478M Parts I and II; Genedy et al. (2018) on steel development length in polymer concrete.</w:t>
      </w:r>
    </w:p>
    <w:p>
      <w:pPr>
        <w:pStyle w:val="Heading3"/>
      </w:pPr>
      <w:r>
        <w:t>C1.2.C.5 ASTM C579</w:t>
      </w:r>
    </w:p>
    <w:p>
      <w:pPr>
        <w:keepLines/>
      </w:pPr>
      <w:r>
        <w:rPr>
          <w:rFonts w:ascii="Calibri" w:hAnsi="Calibri"/>
          <w:b/>
          <w:i w:val="0"/>
          <w:color w:val="000000"/>
          <w:sz w:val="22"/>
        </w:rPr>
        <w:t>Role.</w:t>
      </w:r>
      <w:r>
        <w:rPr>
          <w:rFonts w:ascii="Calibri" w:hAnsi="Calibri"/>
          <w:i w:val="0"/>
          <w:color w:val="000000"/>
          <w:sz w:val="22"/>
        </w:rPr>
        <w:t xml:space="preserve"> Polymer-concrete compressive-strength test method. Method C is specified because it accommodates larger aggregate and provides representative cylinders.</w:t>
      </w:r>
    </w:p>
    <w:p>
      <w:pPr>
        <w:keepLines/>
      </w:pPr>
      <w:r>
        <w:rPr>
          <w:rFonts w:ascii="Calibri" w:hAnsi="Calibri"/>
          <w:b/>
          <w:i w:val="0"/>
          <w:color w:val="000000"/>
          <w:sz w:val="22"/>
        </w:rPr>
        <w:t>Why not ASTM C39 or C497.</w:t>
      </w:r>
      <w:r>
        <w:rPr>
          <w:rFonts w:ascii="Calibri" w:hAnsi="Calibri"/>
          <w:i w:val="0"/>
          <w:color w:val="000000"/>
          <w:sz w:val="22"/>
        </w:rPr>
        <w:t xml:space="preserve"> Those methods are common in conventional concrete practice but are not the direct material method selected by ACI-17. Test geometry strongly affects reported polymer-concrete strength, so method consistency is essential.</w:t>
      </w:r>
    </w:p>
    <w:p>
      <w:pPr>
        <w:keepLines/>
      </w:pPr>
      <w:r>
        <w:rPr>
          <w:rFonts w:ascii="Calibri" w:hAnsi="Calibri"/>
          <w:b/>
          <w:i w:val="0"/>
          <w:color w:val="000000"/>
          <w:sz w:val="22"/>
        </w:rPr>
        <w:t>Further reading.</w:t>
      </w:r>
      <w:r>
        <w:rPr>
          <w:rFonts w:ascii="Calibri" w:hAnsi="Calibri"/>
          <w:i w:val="0"/>
          <w:color w:val="000000"/>
          <w:sz w:val="22"/>
        </w:rPr>
        <w:t xml:space="preserve"> ASTM C579; ACI-17 Sections 7 and 12; Józefiak and Michalczyk (2020).</w:t>
      </w:r>
    </w:p>
    <w:p>
      <w:pPr>
        <w:pStyle w:val="Heading3"/>
      </w:pPr>
      <w:r>
        <w:t>C1.2.C.6 ASTM C580</w:t>
      </w:r>
    </w:p>
    <w:p>
      <w:pPr>
        <w:keepLines/>
      </w:pPr>
      <w:r>
        <w:rPr>
          <w:rFonts w:ascii="Calibri" w:hAnsi="Calibri"/>
          <w:b/>
          <w:i w:val="0"/>
          <w:color w:val="000000"/>
          <w:sz w:val="22"/>
        </w:rPr>
        <w:t>Role.</w:t>
      </w:r>
      <w:r>
        <w:rPr>
          <w:rFonts w:ascii="Calibri" w:hAnsi="Calibri"/>
          <w:i w:val="0"/>
          <w:color w:val="000000"/>
          <w:sz w:val="22"/>
        </w:rPr>
        <w:t xml:space="preserve"> Flexural strength and modulus test method used when flexural properties are required for structural design under ACI-17. The project does not impose a separate minimum flexural qualification value.</w:t>
      </w:r>
    </w:p>
    <w:p>
      <w:pPr>
        <w:keepLines/>
      </w:pPr>
      <w:r>
        <w:rPr>
          <w:rFonts w:ascii="Calibri" w:hAnsi="Calibri"/>
          <w:b/>
          <w:i w:val="0"/>
          <w:color w:val="000000"/>
          <w:sz w:val="22"/>
        </w:rPr>
        <w:t>Why not ASTM C78.</w:t>
      </w:r>
      <w:r>
        <w:rPr>
          <w:rFonts w:ascii="Calibri" w:hAnsi="Calibri"/>
          <w:i w:val="0"/>
          <w:color w:val="000000"/>
          <w:sz w:val="22"/>
        </w:rPr>
        <w:t xml:space="preserve"> C78 is a hydraulic-cement concrete beam test with different geometry and loading. C580 is the material-specific method and makes results comparable across polymer-concrete research, qualification, and production-control programs.</w:t>
      </w:r>
    </w:p>
    <w:p>
      <w:pPr>
        <w:keepLines/>
      </w:pPr>
      <w:r>
        <w:rPr>
          <w:rFonts w:ascii="Calibri" w:hAnsi="Calibri"/>
          <w:b/>
          <w:i w:val="0"/>
          <w:color w:val="000000"/>
          <w:sz w:val="22"/>
        </w:rPr>
        <w:t>Further reading.</w:t>
      </w:r>
      <w:r>
        <w:rPr>
          <w:rFonts w:ascii="Calibri" w:hAnsi="Calibri"/>
          <w:i w:val="0"/>
          <w:color w:val="000000"/>
          <w:sz w:val="22"/>
        </w:rPr>
        <w:t xml:space="preserve"> ASTM C580; Bedi et al. (2013); Józefiak and Michalczyk (2020).</w:t>
      </w:r>
    </w:p>
    <w:p>
      <w:pPr>
        <w:pStyle w:val="Heading3"/>
      </w:pPr>
      <w:r>
        <w:t>C1.2.C.7 ASTM C857</w:t>
      </w:r>
    </w:p>
    <w:p>
      <w:pPr>
        <w:keepLines/>
      </w:pPr>
      <w:r>
        <w:rPr>
          <w:rFonts w:ascii="Calibri" w:hAnsi="Calibri"/>
          <w:b/>
          <w:i w:val="0"/>
          <w:color w:val="000000"/>
          <w:sz w:val="22"/>
        </w:rPr>
        <w:t>Role.</w:t>
      </w:r>
      <w:r>
        <w:rPr>
          <w:rFonts w:ascii="Calibri" w:hAnsi="Calibri"/>
          <w:i w:val="0"/>
          <w:color w:val="000000"/>
          <w:sz w:val="22"/>
        </w:rPr>
        <w:t xml:space="preserve"> Defines minimum structural loading classes for underground precast utility structures. A-16 heavy traffic is the default unless the Drawings identify another loading.</w:t>
      </w:r>
    </w:p>
    <w:p>
      <w:pPr>
        <w:keepLines/>
      </w:pPr>
      <w:r>
        <w:rPr>
          <w:rFonts w:ascii="Calibri" w:hAnsi="Calibri"/>
          <w:b/>
          <w:i w:val="0"/>
          <w:color w:val="000000"/>
          <w:sz w:val="22"/>
        </w:rPr>
        <w:t>Why not ‘H-20’ as a loose label.</w:t>
      </w:r>
      <w:r>
        <w:rPr>
          <w:rFonts w:ascii="Calibri" w:hAnsi="Calibri"/>
          <w:i w:val="0"/>
          <w:color w:val="000000"/>
          <w:sz w:val="22"/>
        </w:rPr>
        <w:t xml:space="preserve"> Legacy highway shorthand does not by itself define load distribution, impact, cover, or geometry. C857 is the referenced underground-structure framework in ACI-17.</w:t>
      </w:r>
    </w:p>
    <w:p>
      <w:pPr>
        <w:keepLines/>
      </w:pPr>
      <w:r>
        <w:rPr>
          <w:rFonts w:ascii="Calibri" w:hAnsi="Calibri"/>
          <w:b/>
          <w:i w:val="0"/>
          <w:color w:val="000000"/>
          <w:sz w:val="22"/>
        </w:rPr>
        <w:t>Further reading.</w:t>
      </w:r>
      <w:r>
        <w:rPr>
          <w:rFonts w:ascii="Calibri" w:hAnsi="Calibri"/>
          <w:i w:val="0"/>
          <w:color w:val="000000"/>
          <w:sz w:val="22"/>
        </w:rPr>
        <w:t xml:space="preserve"> ASTM C857/C857M; ACI-17 Section 8.</w:t>
      </w:r>
    </w:p>
    <w:p>
      <w:pPr>
        <w:pStyle w:val="Heading3"/>
      </w:pPr>
      <w:r>
        <w:t>C1.2.C.8 ASTM C923</w:t>
      </w:r>
    </w:p>
    <w:p>
      <w:pPr>
        <w:keepLines/>
      </w:pPr>
      <w:r>
        <w:rPr>
          <w:rFonts w:ascii="Calibri" w:hAnsi="Calibri"/>
          <w:b/>
          <w:i w:val="0"/>
          <w:color w:val="000000"/>
          <w:sz w:val="22"/>
        </w:rPr>
        <w:t>Role.</w:t>
      </w:r>
      <w:r>
        <w:rPr>
          <w:rFonts w:ascii="Calibri" w:hAnsi="Calibri"/>
          <w:i w:val="0"/>
          <w:color w:val="000000"/>
          <w:sz w:val="22"/>
        </w:rPr>
        <w:t xml:space="preserve"> Performance benchmark for flexible, watertight pipe-to-manhole connectors.</w:t>
      </w:r>
    </w:p>
    <w:p>
      <w:pPr>
        <w:keepLines/>
      </w:pPr>
      <w:r>
        <w:rPr>
          <w:rFonts w:ascii="Calibri" w:hAnsi="Calibri"/>
          <w:b/>
          <w:i w:val="0"/>
          <w:color w:val="000000"/>
          <w:sz w:val="22"/>
        </w:rPr>
        <w:t>Why usable with polymer concrete.</w:t>
      </w:r>
      <w:r>
        <w:rPr>
          <w:rFonts w:ascii="Calibri" w:hAnsi="Calibri"/>
          <w:i w:val="0"/>
          <w:color w:val="000000"/>
          <w:sz w:val="22"/>
        </w:rPr>
        <w:t xml:space="preserve"> Its title refers to reinforced concrete structures, but the connector performance, pipe accommodation, materials, and watertightness concepts transfer when the connector is qualified for the P3 wall and opening geometry.</w:t>
      </w:r>
    </w:p>
    <w:p>
      <w:pPr>
        <w:keepLines/>
      </w:pPr>
      <w:r>
        <w:rPr>
          <w:rFonts w:ascii="Calibri" w:hAnsi="Calibri"/>
          <w:b/>
          <w:i w:val="0"/>
          <w:color w:val="000000"/>
          <w:sz w:val="22"/>
        </w:rPr>
        <w:t>Further reading.</w:t>
      </w:r>
      <w:r>
        <w:rPr>
          <w:rFonts w:ascii="Calibri" w:hAnsi="Calibri"/>
          <w:i w:val="0"/>
          <w:color w:val="000000"/>
          <w:sz w:val="22"/>
        </w:rPr>
        <w:t xml:space="preserve"> ASTM C923/C923M; NPCA, </w:t>
      </w:r>
      <w:r>
        <w:rPr>
          <w:rFonts w:ascii="Calibri" w:hAnsi="Calibri"/>
          <w:i/>
          <w:color w:val="000000"/>
          <w:sz w:val="22"/>
        </w:rPr>
        <w:t>Vacuum Testing Precast Concrete Manholes</w:t>
      </w:r>
      <w:r>
        <w:rPr>
          <w:rFonts w:ascii="Calibri" w:hAnsi="Calibri"/>
          <w:i w:val="0"/>
          <w:color w:val="000000"/>
          <w:sz w:val="22"/>
        </w:rPr>
        <w:t xml:space="preserve"> for connector pressure-rating and groundwater-load coordination, </w:t>
      </w:r>
      <w:r>
        <w:rPr>
          <w:rFonts w:ascii="Calibri" w:hAnsi="Calibri"/>
          <w:color w:val="2E74B5"/>
          <w:sz w:val="21"/>
        </w:rPr>
        <w:t>https://precast.org/wp-content/uploads/100323_Products_ManholeVacuumTesting.pdf</w:t>
      </w:r>
      <w:r>
        <w:rPr>
          <w:rFonts w:ascii="Calibri" w:hAnsi="Calibri"/>
          <w:color w:val="000000"/>
          <w:sz w:val="22"/>
        </w:rPr>
        <w:t>;</w:t>
      </w:r>
      <w:r>
        <w:rPr>
          <w:rFonts w:ascii="Calibri" w:hAnsi="Calibri"/>
          <w:i w:val="0"/>
          <w:color w:val="000000"/>
          <w:sz w:val="22"/>
        </w:rPr>
        <w:t xml:space="preserve"> and the connector manufacturer's qualified installation data.</w:t>
      </w:r>
    </w:p>
    <w:p>
      <w:pPr>
        <w:pStyle w:val="Heading3"/>
      </w:pPr>
      <w:r>
        <w:t>C1.2.C.9 ASTM C990</w:t>
      </w:r>
    </w:p>
    <w:p>
      <w:pPr>
        <w:keepLines/>
      </w:pPr>
      <w:r>
        <w:rPr>
          <w:rFonts w:ascii="Calibri" w:hAnsi="Calibri"/>
          <w:b/>
          <w:i w:val="0"/>
          <w:color w:val="000000"/>
          <w:sz w:val="22"/>
        </w:rPr>
        <w:t>Role.</w:t>
      </w:r>
      <w:r>
        <w:rPr>
          <w:rFonts w:ascii="Calibri" w:hAnsi="Calibri"/>
          <w:i w:val="0"/>
          <w:color w:val="000000"/>
          <w:sz w:val="22"/>
        </w:rPr>
        <w:t xml:space="preserve"> Preformed flexible joint sealant option for manhole section joints.</w:t>
      </w:r>
    </w:p>
    <w:p>
      <w:r>
        <w:rPr>
          <w:rFonts w:ascii="Calibri" w:hAnsi="Calibri"/>
          <w:b/>
          <w:i w:val="0"/>
          <w:color w:val="000000"/>
          <w:sz w:val="22"/>
        </w:rPr>
        <w:t>Performance distinction.</w:t>
      </w:r>
      <w:r>
        <w:rPr>
          <w:rFonts w:ascii="Calibri" w:hAnsi="Calibri"/>
          <w:i w:val="0"/>
          <w:color w:val="000000"/>
          <w:sz w:val="22"/>
        </w:rPr>
        <w:t xml:space="preserve"> C990 governs preformed flexible sealants rather than elastomeric gaskets. Although its ordinary scope is not pressure service, it does not prohibit infiltration or exfiltration limits for vertical manhole joints. Acceptance therefore depends on the specified performance, compatible joint geometry, sealant sizing, clean mating surfaces, compression, installation, and qualification of the assembled system.</w:t>
      </w:r>
    </w:p>
    <w:p>
      <w:pPr>
        <w:keepLines/>
      </w:pPr>
      <w:r>
        <w:rPr>
          <w:rFonts w:ascii="Calibri" w:hAnsi="Calibri"/>
          <w:b/>
          <w:i w:val="0"/>
          <w:color w:val="000000"/>
          <w:sz w:val="22"/>
        </w:rPr>
        <w:t>Why listed alongside C443.</w:t>
      </w:r>
      <w:r>
        <w:rPr>
          <w:rFonts w:ascii="Calibri" w:hAnsi="Calibri"/>
          <w:i w:val="0"/>
          <w:color w:val="000000"/>
          <w:sz w:val="22"/>
        </w:rPr>
        <w:t xml:space="preserve"> They are alternative joint technologies, not requirements to stack by default. Supplemental seals may be used when a qualified detail calls for them, but more layers do not compensate for poor joint geometry or installation.</w:t>
      </w:r>
    </w:p>
    <w:p>
      <w:pPr>
        <w:keepLines/>
      </w:pPr>
      <w:r>
        <w:rPr>
          <w:rFonts w:ascii="Calibri" w:hAnsi="Calibri"/>
          <w:b/>
          <w:i w:val="0"/>
          <w:color w:val="000000"/>
          <w:sz w:val="22"/>
        </w:rPr>
        <w:t>Further reading.</w:t>
      </w:r>
      <w:r>
        <w:rPr>
          <w:rFonts w:ascii="Calibri" w:hAnsi="Calibri"/>
          <w:i w:val="0"/>
          <w:color w:val="000000"/>
          <w:sz w:val="22"/>
        </w:rPr>
        <w:t xml:space="preserve"> ASTM C990/C990M; NPCA, </w:t>
      </w:r>
      <w:r>
        <w:rPr>
          <w:rFonts w:ascii="Calibri" w:hAnsi="Calibri"/>
          <w:i/>
          <w:color w:val="000000"/>
          <w:sz w:val="22"/>
        </w:rPr>
        <w:t>Underground Structure Joints</w:t>
      </w:r>
      <w:r>
        <w:rPr>
          <w:rFonts w:ascii="Calibri" w:hAnsi="Calibri"/>
          <w:i w:val="0"/>
          <w:color w:val="000000"/>
          <w:sz w:val="22"/>
        </w:rPr>
        <w:t xml:space="preserve"> (2023); NPCA, </w:t>
      </w:r>
      <w:r>
        <w:rPr>
          <w:rFonts w:ascii="Calibri" w:hAnsi="Calibri"/>
          <w:i/>
          <w:color w:val="000000"/>
          <w:sz w:val="22"/>
        </w:rPr>
        <w:t>Watertight Manhole Joints</w:t>
      </w:r>
      <w:r>
        <w:rPr>
          <w:rFonts w:ascii="Calibri" w:hAnsi="Calibri"/>
          <w:i w:val="0"/>
          <w:color w:val="000000"/>
          <w:sz w:val="22"/>
        </w:rPr>
        <w:t xml:space="preserve"> (2013); and the selected sealant manufacturer's published installation data.</w:t>
      </w:r>
    </w:p>
    <w:p>
      <w:pPr>
        <w:pStyle w:val="Heading3"/>
      </w:pPr>
      <w:r>
        <w:t>C1.2.C.10 ASTM C1244</w:t>
      </w:r>
    </w:p>
    <w:p>
      <w:pPr>
        <w:keepLines/>
      </w:pPr>
      <w:r>
        <w:rPr>
          <w:rFonts w:ascii="Calibri" w:hAnsi="Calibri"/>
          <w:b/>
          <w:i w:val="0"/>
          <w:color w:val="000000"/>
          <w:sz w:val="22"/>
        </w:rPr>
        <w:t>Role.</w:t>
      </w:r>
      <w:r>
        <w:rPr>
          <w:rFonts w:ascii="Calibri" w:hAnsi="Calibri"/>
          <w:i w:val="0"/>
          <w:color w:val="000000"/>
          <w:sz w:val="22"/>
        </w:rPr>
        <w:t xml:space="preserve"> Pre-backfill negative-air-pressure field test option for assembled sewer manholes.</w:t>
      </w:r>
    </w:p>
    <w:p>
      <w:pPr>
        <w:keepLines/>
      </w:pPr>
      <w:r>
        <w:rPr>
          <w:rFonts w:ascii="Calibri" w:hAnsi="Calibri"/>
          <w:b/>
          <w:i w:val="0"/>
          <w:color w:val="000000"/>
          <w:sz w:val="22"/>
        </w:rPr>
        <w:t>Why project selection is required.</w:t>
      </w:r>
      <w:r>
        <w:rPr>
          <w:rFonts w:ascii="Calibri" w:hAnsi="Calibri"/>
          <w:i w:val="0"/>
          <w:color w:val="000000"/>
          <w:sz w:val="22"/>
        </w:rPr>
        <w:t xml:space="preserve"> Owner testing programs differ on whether they require vacuum testing, another coordinated system test, or no standalone manhole test. The selected route affects plugs, timing, safety, groundwater correction, component pressure limits, and responsibility.</w:t>
      </w:r>
    </w:p>
    <w:p>
      <w:pPr>
        <w:keepLines/>
      </w:pPr>
      <w:r>
        <w:rPr>
          <w:rFonts w:ascii="Calibri" w:hAnsi="Calibri"/>
          <w:b/>
          <w:i w:val="0"/>
          <w:color w:val="000000"/>
          <w:sz w:val="22"/>
        </w:rPr>
        <w:t>Further reading.</w:t>
      </w:r>
      <w:r>
        <w:rPr>
          <w:rFonts w:ascii="Calibri" w:hAnsi="Calibri"/>
          <w:i w:val="0"/>
          <w:color w:val="000000"/>
          <w:sz w:val="22"/>
        </w:rPr>
        <w:t xml:space="preserve"> ASTM C1244/C1244M; ASTM C1964 for the newer post-backfill practice where adopted; NPCA, </w:t>
      </w:r>
      <w:r>
        <w:rPr>
          <w:rFonts w:ascii="Calibri" w:hAnsi="Calibri"/>
          <w:i/>
          <w:color w:val="000000"/>
          <w:sz w:val="22"/>
        </w:rPr>
        <w:t>Vacuum Testing Precast Concrete Manholes</w:t>
      </w:r>
      <w:r>
        <w:rPr>
          <w:rFonts w:ascii="Calibri" w:hAnsi="Calibri"/>
          <w:i w:val="0"/>
          <w:color w:val="000000"/>
          <w:sz w:val="22"/>
        </w:rPr>
        <w:t>; and project sewer-testing standards.</w:t>
      </w:r>
    </w:p>
    <w:p>
      <w:pPr>
        <w:pStyle w:val="Heading3"/>
      </w:pPr>
      <w:r>
        <w:t>C1.2.C.11 ASTM D648</w:t>
      </w:r>
    </w:p>
    <w:p>
      <w:pPr>
        <w:keepLines/>
      </w:pPr>
      <w:r>
        <w:rPr>
          <w:rFonts w:ascii="Calibri" w:hAnsi="Calibri"/>
          <w:b/>
          <w:i w:val="0"/>
          <w:color w:val="000000"/>
          <w:sz w:val="22"/>
        </w:rPr>
        <w:t>Role.</w:t>
      </w:r>
      <w:r>
        <w:rPr>
          <w:rFonts w:ascii="Calibri" w:hAnsi="Calibri"/>
          <w:i w:val="0"/>
          <w:color w:val="000000"/>
          <w:sz w:val="22"/>
        </w:rPr>
        <w:t xml:space="preserve"> Measures heat-deflection temperature of the cured resin/plastic system under flexural load.</w:t>
      </w:r>
    </w:p>
    <w:p>
      <w:pPr>
        <w:keepLines/>
      </w:pPr>
      <w:r>
        <w:rPr>
          <w:rFonts w:ascii="Calibri" w:hAnsi="Calibri"/>
          <w:b/>
          <w:i w:val="0"/>
          <w:color w:val="000000"/>
          <w:sz w:val="22"/>
        </w:rPr>
        <w:t>Why it matters.</w:t>
      </w:r>
      <w:r>
        <w:rPr>
          <w:rFonts w:ascii="Calibri" w:hAnsi="Calibri"/>
          <w:i w:val="0"/>
          <w:color w:val="000000"/>
          <w:sz w:val="22"/>
        </w:rPr>
        <w:t xml:space="preserve"> Polymer stiffness is temperature dependent. A room-temperature strength number does not establish adequacy at elevated sewage or process temperature.</w:t>
      </w:r>
    </w:p>
    <w:p>
      <w:pPr>
        <w:keepLines/>
      </w:pPr>
      <w:r>
        <w:rPr>
          <w:rFonts w:ascii="Calibri" w:hAnsi="Calibri"/>
          <w:b/>
          <w:i w:val="0"/>
          <w:color w:val="000000"/>
          <w:sz w:val="22"/>
        </w:rPr>
        <w:t>Further reading.</w:t>
      </w:r>
      <w:r>
        <w:rPr>
          <w:rFonts w:ascii="Calibri" w:hAnsi="Calibri"/>
          <w:i w:val="0"/>
          <w:color w:val="000000"/>
          <w:sz w:val="22"/>
        </w:rPr>
        <w:t xml:space="preserve"> ASTM D648; ACI-17 Section 5.1.1; ACI PRC-548.6-19; Józefiak and Michalczyk (2020).</w:t>
      </w:r>
    </w:p>
    <w:p>
      <w:pPr>
        <w:pStyle w:val="Heading2"/>
      </w:pPr>
      <w:r>
        <w:t>C1.3 SUBMITTALS</w:t>
      </w:r>
    </w:p>
    <w:p>
      <w:pPr>
        <w:pStyle w:val="Heading3"/>
      </w:pPr>
      <w:r>
        <w:t>C1.3.A Product data</w:t>
      </w:r>
    </w:p>
    <w:p>
      <w:pPr>
        <w:keepLines/>
      </w:pPr>
      <w:r>
        <w:rPr>
          <w:rFonts w:ascii="Calibri" w:hAnsi="Calibri"/>
          <w:b/>
          <w:i w:val="0"/>
          <w:color w:val="000000"/>
          <w:sz w:val="22"/>
        </w:rPr>
        <w:t>Why it is here.</w:t>
      </w:r>
      <w:r>
        <w:rPr>
          <w:rFonts w:ascii="Calibri" w:hAnsi="Calibri"/>
          <w:i w:val="0"/>
          <w:color w:val="000000"/>
          <w:sz w:val="22"/>
        </w:rPr>
        <w:t xml:space="preserve"> The reviewer needs the actual system components and installation requirements, not a generic polymer-concrete brochure. Lifting and repair information are included because mishandling or unqualified patching can defeat structural and watertight performance.</w:t>
      </w:r>
    </w:p>
    <w:p>
      <w:pPr>
        <w:keepLines/>
      </w:pPr>
      <w:r>
        <w:rPr>
          <w:rFonts w:ascii="Calibri" w:hAnsi="Calibri"/>
          <w:b/>
          <w:i w:val="0"/>
          <w:color w:val="000000"/>
          <w:sz w:val="22"/>
        </w:rPr>
        <w:t>Basis.</w:t>
      </w:r>
      <w:r>
        <w:rPr>
          <w:rFonts w:ascii="Calibri" w:hAnsi="Calibri"/>
          <w:i w:val="0"/>
          <w:color w:val="000000"/>
          <w:sz w:val="22"/>
        </w:rPr>
        <w:t xml:space="preserve"> ACI-17 Sections 9 and 15 and established submittal practice for delegated-design precast systems.</w:t>
      </w:r>
    </w:p>
    <w:p>
      <w:pPr>
        <w:keepLines/>
      </w:pPr>
      <w:r>
        <w:rPr>
          <w:rFonts w:ascii="Calibri" w:hAnsi="Calibri"/>
          <w:b/>
          <w:i w:val="0"/>
          <w:color w:val="000000"/>
          <w:sz w:val="22"/>
        </w:rPr>
        <w:t>Why not accept a catalog cut alone.</w:t>
      </w:r>
      <w:r>
        <w:rPr>
          <w:rFonts w:ascii="Calibri" w:hAnsi="Calibri"/>
          <w:i w:val="0"/>
          <w:color w:val="000000"/>
          <w:sz w:val="22"/>
        </w:rPr>
        <w:t xml:space="preserve"> Catalog data normally omit project openings, joint geometry, design assumptions, and traceability.</w:t>
      </w:r>
    </w:p>
    <w:p>
      <w:pPr>
        <w:pStyle w:val="Heading3"/>
      </w:pPr>
      <w:r>
        <w:t>C1.3.B Shop drawings</w:t>
      </w:r>
    </w:p>
    <w:p>
      <w:pPr>
        <w:keepLines/>
      </w:pPr>
      <w:r>
        <w:rPr>
          <w:rFonts w:ascii="Calibri" w:hAnsi="Calibri"/>
          <w:b/>
          <w:i w:val="0"/>
          <w:color w:val="000000"/>
          <w:sz w:val="22"/>
        </w:rPr>
        <w:t>Why it is here.</w:t>
      </w:r>
      <w:r>
        <w:rPr>
          <w:rFonts w:ascii="Calibri" w:hAnsi="Calibri"/>
          <w:i w:val="0"/>
          <w:color w:val="000000"/>
          <w:sz w:val="22"/>
        </w:rPr>
        <w:t xml:space="preserve"> This is the coordination record for dimensions, reinforcement, interfaces, hydraulics, and assembly. Component identification connects the delivered part to the drawing and QC record.</w:t>
      </w:r>
    </w:p>
    <w:p>
      <w:pPr>
        <w:keepLines/>
      </w:pPr>
      <w:r>
        <w:rPr>
          <w:rFonts w:ascii="Calibri" w:hAnsi="Calibri"/>
          <w:b/>
          <w:i w:val="0"/>
          <w:color w:val="000000"/>
          <w:sz w:val="22"/>
        </w:rPr>
        <w:t>Basis.</w:t>
      </w:r>
      <w:r>
        <w:rPr>
          <w:rFonts w:ascii="Calibri" w:hAnsi="Calibri"/>
          <w:i w:val="0"/>
          <w:color w:val="000000"/>
          <w:sz w:val="22"/>
        </w:rPr>
        <w:t xml:space="preserve"> ACI-17 Section 15.3 and conventional delegated-design practice.</w:t>
      </w:r>
    </w:p>
    <w:p>
      <w:pPr>
        <w:keepLines/>
      </w:pPr>
      <w:r>
        <w:rPr>
          <w:rFonts w:ascii="Calibri" w:hAnsi="Calibri"/>
          <w:b/>
          <w:i w:val="0"/>
          <w:color w:val="000000"/>
          <w:sz w:val="22"/>
        </w:rPr>
        <w:t>Further reading.</w:t>
      </w:r>
      <w:r>
        <w:rPr>
          <w:rFonts w:ascii="Calibri" w:hAnsi="Calibri"/>
          <w:i w:val="0"/>
          <w:color w:val="000000"/>
          <w:sz w:val="22"/>
        </w:rPr>
        <w:t xml:space="preserve"> ACI-17 ordering information and documentation provisions; project Division 01 submittal procedures.</w:t>
      </w:r>
    </w:p>
    <w:p>
      <w:pPr>
        <w:pStyle w:val="Heading3"/>
      </w:pPr>
      <w:r>
        <w:t>C1.3.C Delegated-design submittal</w:t>
      </w:r>
    </w:p>
    <w:p>
      <w:pPr>
        <w:keepLines/>
      </w:pPr>
      <w:r>
        <w:rPr>
          <w:rFonts w:ascii="Calibri" w:hAnsi="Calibri"/>
          <w:b/>
          <w:i w:val="0"/>
          <w:color w:val="000000"/>
          <w:sz w:val="22"/>
        </w:rPr>
        <w:t>Why it is here.</w:t>
      </w:r>
      <w:r>
        <w:rPr>
          <w:rFonts w:ascii="Calibri" w:hAnsi="Calibri"/>
          <w:i w:val="0"/>
          <w:color w:val="000000"/>
          <w:sz w:val="22"/>
        </w:rPr>
        <w:t xml:space="preserve"> Standard dimensions do not eliminate project-specific structural verification. The sealed package must show the inputs that govern earth pressure, groundwater, traffic, bearing, reinforcement, and flotation.</w:t>
      </w:r>
    </w:p>
    <w:p>
      <w:pPr>
        <w:keepLines/>
      </w:pPr>
      <w:r>
        <w:rPr>
          <w:rFonts w:ascii="Calibri" w:hAnsi="Calibri"/>
          <w:b/>
          <w:i w:val="0"/>
          <w:color w:val="000000"/>
          <w:sz w:val="22"/>
        </w:rPr>
        <w:t>Basis.</w:t>
      </w:r>
      <w:r>
        <w:rPr>
          <w:rFonts w:ascii="Calibri" w:hAnsi="Calibri"/>
          <w:i w:val="0"/>
          <w:color w:val="000000"/>
          <w:sz w:val="22"/>
        </w:rPr>
        <w:t xml:space="preserve"> ACI-17 Sections 8 and 15; ACI-350; ASTM C857. The license must be in the project state because professional-practice authority is jurisdictional.</w:t>
      </w:r>
    </w:p>
    <w:p>
      <w:pPr>
        <w:keepLines/>
      </w:pPr>
      <w:r>
        <w:rPr>
          <w:rFonts w:ascii="Calibri" w:hAnsi="Calibri"/>
          <w:b/>
          <w:i w:val="0"/>
          <w:color w:val="000000"/>
          <w:sz w:val="22"/>
        </w:rPr>
        <w:t>Why not require a geotechnical report in every case.</w:t>
      </w:r>
      <w:r>
        <w:rPr>
          <w:rFonts w:ascii="Calibri" w:hAnsi="Calibri"/>
          <w:i w:val="0"/>
          <w:color w:val="000000"/>
          <w:sz w:val="22"/>
        </w:rPr>
        <w:t xml:space="preserve"> The specification provides defined baseline inputs so structural calculations can proceed for the stated assumed conditions when a report cannot reasonably be obtained. Those inputs do not establish site suitability or settlement performance. If project geotechnical data exist, they control the listed variables.</w:t>
      </w:r>
    </w:p>
    <w:p>
      <w:pPr>
        <w:pStyle w:val="Heading3"/>
      </w:pPr>
      <w:r>
        <w:t>C1.3.D Qualification data</w:t>
      </w:r>
    </w:p>
    <w:p>
      <w:pPr>
        <w:keepLines/>
      </w:pPr>
      <w:r>
        <w:rPr>
          <w:rFonts w:ascii="Calibri" w:hAnsi="Calibri"/>
          <w:b/>
          <w:i w:val="0"/>
          <w:color w:val="000000"/>
          <w:sz w:val="22"/>
        </w:rPr>
        <w:t>Why it is here.</w:t>
      </w:r>
      <w:r>
        <w:rPr>
          <w:rFonts w:ascii="Calibri" w:hAnsi="Calibri"/>
          <w:i w:val="0"/>
          <w:color w:val="000000"/>
          <w:sz w:val="22"/>
        </w:rPr>
        <w:t xml:space="preserve"> Claims must be tied to the current mixture, current resin and aggregate sources, required test methods, and complete acceptance criteria. Resin-supplier certification separately verifies the specified vinyl-ester and styrene-free binder identity.</w:t>
      </w:r>
    </w:p>
    <w:p>
      <w:pPr>
        <w:keepLines/>
      </w:pPr>
      <w:r>
        <w:rPr>
          <w:rFonts w:ascii="Calibri" w:hAnsi="Calibri"/>
          <w:b/>
          <w:i w:val="0"/>
          <w:color w:val="000000"/>
          <w:sz w:val="22"/>
        </w:rPr>
        <w:t>Basis.</w:t>
      </w:r>
      <w:r>
        <w:rPr>
          <w:rFonts w:ascii="Calibri" w:hAnsi="Calibri"/>
          <w:i w:val="0"/>
          <w:color w:val="000000"/>
          <w:sz w:val="22"/>
        </w:rPr>
        <w:t xml:space="preserve"> ACI-17 Sections 6, 7, 12, and 15.</w:t>
      </w:r>
    </w:p>
    <w:p>
      <w:pPr>
        <w:keepLines/>
      </w:pPr>
      <w:r>
        <w:rPr>
          <w:rFonts w:ascii="Calibri" w:hAnsi="Calibri"/>
          <w:b/>
          <w:i w:val="0"/>
          <w:color w:val="000000"/>
          <w:sz w:val="22"/>
        </w:rPr>
        <w:t>Why ‘independent laboratory.’</w:t>
      </w:r>
      <w:r>
        <w:rPr>
          <w:rFonts w:ascii="Calibri" w:hAnsi="Calibri"/>
          <w:i w:val="0"/>
          <w:color w:val="000000"/>
          <w:sz w:val="22"/>
        </w:rPr>
        <w:t xml:space="preserve"> Qualification is more credible when separated from routine production QC. The line does not require disclosure of proprietary proportions; it requires demonstrable performance.</w:t>
      </w:r>
    </w:p>
    <w:p>
      <w:r>
        <w:rPr>
          <w:rFonts w:ascii="Calibri" w:hAnsi="Calibri"/>
          <w:b/>
          <w:i w:val="0"/>
          <w:color w:val="000000"/>
          <w:sz w:val="22"/>
        </w:rPr>
        <w:t>Acceptance principle.</w:t>
      </w:r>
      <w:r>
        <w:rPr>
          <w:rFonts w:ascii="Calibri" w:hAnsi="Calibri"/>
          <w:i w:val="0"/>
          <w:color w:val="000000"/>
          <w:sz w:val="22"/>
        </w:rPr>
        <w:t xml:space="preserve"> Qualification reports must address the supplied formulation and the complete specified acceptance criteria; generic literature or a report for a materially different product is not a substitute.</w:t>
      </w:r>
    </w:p>
    <w:p>
      <w:pPr>
        <w:keepLines/>
      </w:pPr>
      <w:r>
        <w:rPr>
          <w:rFonts w:ascii="Calibri" w:hAnsi="Calibri"/>
          <w:b/>
          <w:i w:val="0"/>
          <w:color w:val="000000"/>
          <w:sz w:val="22"/>
        </w:rPr>
        <w:t>Why supplier certification is separate.</w:t>
      </w:r>
      <w:r>
        <w:rPr>
          <w:rFonts w:ascii="Calibri" w:hAnsi="Calibri"/>
          <w:i w:val="0"/>
          <w:color w:val="000000"/>
          <w:sz w:val="22"/>
        </w:rPr>
        <w:t xml:space="preserve"> Finished-product tests establish performance but may not identify the reactive diluent used to manufacture the resin. Supplier certification directly addresses the specified resin-family and styrene-free requirements without demanding proprietary formulation disclosure.</w:t>
      </w:r>
    </w:p>
    <w:p>
      <w:pPr>
        <w:pStyle w:val="Heading3"/>
      </w:pPr>
      <w:r>
        <w:t>C1.3.E ISO 9001 certification</w:t>
      </w:r>
    </w:p>
    <w:p>
      <w:pPr>
        <w:keepLines/>
      </w:pPr>
      <w:r>
        <w:rPr>
          <w:rFonts w:ascii="Calibri" w:hAnsi="Calibri"/>
          <w:b/>
          <w:i w:val="0"/>
          <w:color w:val="000000"/>
          <w:sz w:val="22"/>
        </w:rPr>
        <w:t>Why it is here.</w:t>
      </w:r>
      <w:r>
        <w:rPr>
          <w:rFonts w:ascii="Calibri" w:hAnsi="Calibri"/>
          <w:i w:val="0"/>
          <w:color w:val="000000"/>
          <w:sz w:val="22"/>
        </w:rPr>
        <w:t xml:space="preserve"> It verifies that the manufacturer has a documented quality-management system governing production, records, corrective action, and change control.</w:t>
      </w:r>
    </w:p>
    <w:p>
      <w:pPr>
        <w:keepLines/>
      </w:pPr>
      <w:r>
        <w:rPr>
          <w:rFonts w:ascii="Calibri" w:hAnsi="Calibri"/>
          <w:b/>
          <w:i w:val="0"/>
          <w:color w:val="000000"/>
          <w:sz w:val="22"/>
        </w:rPr>
        <w:t>Basis.</w:t>
      </w:r>
      <w:r>
        <w:rPr>
          <w:rFonts w:ascii="Calibri" w:hAnsi="Calibri"/>
          <w:i w:val="0"/>
          <w:color w:val="000000"/>
          <w:sz w:val="22"/>
        </w:rPr>
        <w:t xml:space="preserve"> ACI-17 Section 15.1.</w:t>
      </w:r>
    </w:p>
    <w:p>
      <w:pPr>
        <w:keepLines/>
      </w:pPr>
      <w:r>
        <w:rPr>
          <w:rFonts w:ascii="Calibri" w:hAnsi="Calibri"/>
          <w:b/>
          <w:i w:val="0"/>
          <w:color w:val="000000"/>
          <w:sz w:val="22"/>
        </w:rPr>
        <w:t>Why not treat ISO as product certification.</w:t>
      </w:r>
      <w:r>
        <w:rPr>
          <w:rFonts w:ascii="Calibri" w:hAnsi="Calibri"/>
          <w:i w:val="0"/>
          <w:color w:val="000000"/>
          <w:sz w:val="22"/>
        </w:rPr>
        <w:t xml:space="preserve"> ISO 9001 evaluates the management system, not whether a particular manhole passed its material or dimensional requirements. Both system certification and product evidence are required.</w:t>
      </w:r>
    </w:p>
    <w:p>
      <w:pPr>
        <w:pStyle w:val="Heading3"/>
      </w:pPr>
      <w:r>
        <w:t>C1.3.F Installation instructions and warranty</w:t>
      </w:r>
    </w:p>
    <w:p>
      <w:pPr>
        <w:keepLines/>
      </w:pPr>
      <w:r>
        <w:rPr>
          <w:rFonts w:ascii="Calibri" w:hAnsi="Calibri"/>
          <w:b/>
          <w:i w:val="0"/>
          <w:color w:val="000000"/>
          <w:sz w:val="22"/>
        </w:rPr>
        <w:t>Why it is here.</w:t>
      </w:r>
      <w:r>
        <w:rPr>
          <w:rFonts w:ascii="Calibri" w:hAnsi="Calibri"/>
          <w:i w:val="0"/>
          <w:color w:val="000000"/>
          <w:sz w:val="22"/>
        </w:rPr>
        <w:t xml:space="preserve"> The installer needs manufacturer-specific lifting, jointing, connector, repair, and setting procedures. The owner needs the actual commercial warranty before acceptance.</w:t>
      </w:r>
    </w:p>
    <w:p>
      <w:pPr>
        <w:keepLines/>
      </w:pPr>
      <w:r>
        <w:rPr>
          <w:rFonts w:ascii="Calibri" w:hAnsi="Calibri"/>
          <w:b/>
          <w:i w:val="0"/>
          <w:color w:val="000000"/>
          <w:sz w:val="22"/>
        </w:rPr>
        <w:t>Basis.</w:t>
      </w:r>
      <w:r>
        <w:rPr>
          <w:rFonts w:ascii="Calibri" w:hAnsi="Calibri"/>
          <w:i w:val="0"/>
          <w:color w:val="000000"/>
          <w:sz w:val="22"/>
        </w:rPr>
        <w:t xml:space="preserve"> ACI-17 Sections 15 and 16; P3 standard warranty.</w:t>
      </w:r>
    </w:p>
    <w:p>
      <w:pPr>
        <w:pStyle w:val="Heading2"/>
      </w:pPr>
      <w:r>
        <w:t>C1.4 QUALITY ASSURANCE</w:t>
      </w:r>
    </w:p>
    <w:p>
      <w:pPr>
        <w:pStyle w:val="Heading3"/>
      </w:pPr>
      <w:r>
        <w:t>C1.4.A Manufacturer qualifications</w:t>
      </w:r>
    </w:p>
    <w:p>
      <w:pPr>
        <w:keepLines/>
      </w:pPr>
      <w:r>
        <w:rPr>
          <w:rFonts w:ascii="Calibri" w:hAnsi="Calibri"/>
          <w:b/>
          <w:i w:val="0"/>
          <w:color w:val="000000"/>
          <w:sz w:val="22"/>
        </w:rPr>
        <w:t>Why it is here.</w:t>
      </w:r>
      <w:r>
        <w:rPr>
          <w:rFonts w:ascii="Calibri" w:hAnsi="Calibri"/>
          <w:i w:val="0"/>
          <w:color w:val="000000"/>
          <w:sz w:val="22"/>
        </w:rPr>
        <w:t xml:space="preserve"> Polymer concrete production depends on resin proportioning, catalyst control, aggregate moisture, cure, placement, and traceability. Comparable experience and a functioning QMS reduce the risk of treating it as ordinary precast concrete.</w:t>
      </w:r>
    </w:p>
    <w:p>
      <w:pPr>
        <w:keepLines/>
      </w:pPr>
      <w:r>
        <w:rPr>
          <w:rFonts w:ascii="Calibri" w:hAnsi="Calibri"/>
          <w:b/>
          <w:i w:val="0"/>
          <w:color w:val="000000"/>
          <w:sz w:val="22"/>
        </w:rPr>
        <w:t>Basis.</w:t>
      </w:r>
      <w:r>
        <w:rPr>
          <w:rFonts w:ascii="Calibri" w:hAnsi="Calibri"/>
          <w:i w:val="0"/>
          <w:color w:val="000000"/>
          <w:sz w:val="22"/>
        </w:rPr>
        <w:t xml:space="preserve"> ACI-17 Section 15.1 and established precast-industry quality practice requiring experienced manufacturers and controlled plants.</w:t>
      </w:r>
    </w:p>
    <w:p>
      <w:pPr>
        <w:keepLines/>
      </w:pPr>
      <w:r>
        <w:rPr>
          <w:rFonts w:ascii="Calibri" w:hAnsi="Calibri"/>
          <w:b/>
          <w:i w:val="0"/>
          <w:color w:val="000000"/>
          <w:sz w:val="22"/>
        </w:rPr>
        <w:t>Why no arbitrary years-of-experience threshold.</w:t>
      </w:r>
      <w:r>
        <w:rPr>
          <w:rFonts w:ascii="Calibri" w:hAnsi="Calibri"/>
          <w:i w:val="0"/>
          <w:color w:val="000000"/>
          <w:sz w:val="22"/>
        </w:rPr>
        <w:t xml:space="preserve"> A fixed number can become a procurement barrier without proving present capability. Comparable production and ISO certification are more directly auditable.</w:t>
      </w:r>
    </w:p>
    <w:p>
      <w:pPr>
        <w:pStyle w:val="Heading3"/>
      </w:pPr>
      <w:r>
        <w:t>C1.4.B Single-system responsibility</w:t>
      </w:r>
    </w:p>
    <w:p>
      <w:pPr>
        <w:keepLines/>
      </w:pPr>
      <w:r>
        <w:rPr>
          <w:rFonts w:ascii="Calibri" w:hAnsi="Calibri"/>
          <w:b/>
          <w:i w:val="0"/>
          <w:color w:val="000000"/>
          <w:sz w:val="22"/>
        </w:rPr>
        <w:t>Why it is here.</w:t>
      </w:r>
      <w:r>
        <w:rPr>
          <w:rFonts w:ascii="Calibri" w:hAnsi="Calibri"/>
          <w:i w:val="0"/>
          <w:color w:val="000000"/>
          <w:sz w:val="22"/>
        </w:rPr>
        <w:t xml:space="preserve"> Joints, openings, connectors, and repair materials must work with the wall geometry and resin system. One accountable manufacturer reduces interface disputes.</w:t>
      </w:r>
    </w:p>
    <w:p>
      <w:pPr>
        <w:keepLines/>
      </w:pPr>
      <w:r>
        <w:rPr>
          <w:rFonts w:ascii="Calibri" w:hAnsi="Calibri"/>
          <w:b/>
          <w:i w:val="0"/>
          <w:color w:val="000000"/>
          <w:sz w:val="22"/>
        </w:rPr>
        <w:t>Why allow ‘under documented responsibility.’</w:t>
      </w:r>
      <w:r>
        <w:rPr>
          <w:rFonts w:ascii="Calibri" w:hAnsi="Calibri"/>
          <w:i w:val="0"/>
          <w:color w:val="000000"/>
          <w:sz w:val="22"/>
        </w:rPr>
        <w:t xml:space="preserve"> It permits qualified third-party accessories while keeping compatibility and coordination responsibility clear.</w:t>
      </w:r>
    </w:p>
    <w:p>
      <w:pPr>
        <w:pStyle w:val="Heading2"/>
      </w:pPr>
      <w:r>
        <w:t>C1.5 DELIVERY, STORAGE, AND HANDLING</w:t>
      </w:r>
    </w:p>
    <w:p>
      <w:pPr>
        <w:pStyle w:val="Heading3"/>
      </w:pPr>
      <w:r>
        <w:t>C1.5.A Designated lifting points</w:t>
      </w:r>
    </w:p>
    <w:p>
      <w:pPr>
        <w:keepLines/>
      </w:pPr>
      <w:r>
        <w:rPr>
          <w:rFonts w:ascii="Calibri" w:hAnsi="Calibri"/>
          <w:b/>
          <w:i w:val="0"/>
          <w:color w:val="000000"/>
          <w:sz w:val="22"/>
        </w:rPr>
        <w:t>Why it is here.</w:t>
      </w:r>
      <w:r>
        <w:rPr>
          <w:rFonts w:ascii="Calibri" w:hAnsi="Calibri"/>
          <w:i w:val="0"/>
          <w:color w:val="000000"/>
          <w:sz w:val="22"/>
        </w:rPr>
        <w:t xml:space="preserve"> Pipe openings and joint faces are not lifting points. Improvised rigging can chip the sealing surface, overstress local wall regions, or conceal damage.</w:t>
      </w:r>
    </w:p>
    <w:p>
      <w:pPr>
        <w:keepLines/>
      </w:pPr>
      <w:r>
        <w:rPr>
          <w:rFonts w:ascii="Calibri" w:hAnsi="Calibri"/>
          <w:b/>
          <w:i w:val="0"/>
          <w:color w:val="000000"/>
          <w:sz w:val="22"/>
        </w:rPr>
        <w:t>Basis.</w:t>
      </w:r>
      <w:r>
        <w:rPr>
          <w:rFonts w:ascii="Calibri" w:hAnsi="Calibri"/>
          <w:i w:val="0"/>
          <w:color w:val="000000"/>
          <w:sz w:val="22"/>
        </w:rPr>
        <w:t xml:space="preserve"> ACI-17 Section 9.1 and established precast handling practice.</w:t>
      </w:r>
    </w:p>
    <w:p>
      <w:pPr>
        <w:pStyle w:val="Heading3"/>
      </w:pPr>
      <w:r>
        <w:t>C1.5.B Storage and protection</w:t>
      </w:r>
    </w:p>
    <w:p>
      <w:pPr>
        <w:keepLines/>
      </w:pPr>
      <w:r>
        <w:rPr>
          <w:rFonts w:ascii="Calibri" w:hAnsi="Calibri"/>
          <w:b/>
          <w:i w:val="0"/>
          <w:color w:val="000000"/>
          <w:sz w:val="22"/>
        </w:rPr>
        <w:t>Why it is here.</w:t>
      </w:r>
      <w:r>
        <w:rPr>
          <w:rFonts w:ascii="Calibri" w:hAnsi="Calibri"/>
          <w:i w:val="0"/>
          <w:color w:val="000000"/>
          <w:sz w:val="22"/>
        </w:rPr>
        <w:t xml:space="preserve"> Uneven supports can induce sustained bending; dirt, ultraviolet exposure, impact, or deformation can compromise seals and accessories before installation.</w:t>
      </w:r>
    </w:p>
    <w:p>
      <w:pPr>
        <w:keepLines/>
      </w:pPr>
      <w:r>
        <w:rPr>
          <w:rFonts w:ascii="Calibri" w:hAnsi="Calibri"/>
          <w:b/>
          <w:i w:val="0"/>
          <w:color w:val="000000"/>
          <w:sz w:val="22"/>
        </w:rPr>
        <w:t>Why ‘weather damage’ is included.</w:t>
      </w:r>
      <w:r>
        <w:rPr>
          <w:rFonts w:ascii="Calibri" w:hAnsi="Calibri"/>
          <w:i w:val="0"/>
          <w:color w:val="000000"/>
          <w:sz w:val="22"/>
        </w:rPr>
        <w:t xml:space="preserve"> The polymer concrete body is durable, but packaged gaskets, lubricants, connectors, coatings, and repair materials may have temperature, UV, or shelf-life limits.</w:t>
      </w:r>
    </w:p>
    <w:p>
      <w:pPr>
        <w:pStyle w:val="Heading2"/>
      </w:pPr>
      <w:r>
        <w:t>C1.6 WARRANTY</w:t>
      </w:r>
    </w:p>
    <w:p>
      <w:pPr>
        <w:pStyle w:val="Heading3"/>
      </w:pPr>
      <w:r>
        <w:t>C1.6.A Fifty-year manufacturer warranty</w:t>
      </w:r>
    </w:p>
    <w:p>
      <w:pPr>
        <w:keepLines/>
      </w:pPr>
      <w:r>
        <w:rPr>
          <w:rFonts w:ascii="Calibri" w:hAnsi="Calibri"/>
          <w:b/>
          <w:i w:val="0"/>
          <w:color w:val="000000"/>
          <w:sz w:val="22"/>
        </w:rPr>
        <w:t>Why it is here.</w:t>
      </w:r>
      <w:r>
        <w:rPr>
          <w:rFonts w:ascii="Calibri" w:hAnsi="Calibri"/>
          <w:i w:val="0"/>
          <w:color w:val="000000"/>
          <w:sz w:val="22"/>
        </w:rPr>
        <w:t xml:space="preserve"> The long warranty addresses the principal value proposition: avoiding corrosion, decomposition, and disintegration in aggressive sewer service.</w:t>
      </w:r>
    </w:p>
    <w:p>
      <w:pPr>
        <w:keepLines/>
      </w:pPr>
      <w:r>
        <w:rPr>
          <w:rFonts w:ascii="Calibri" w:hAnsi="Calibri"/>
          <w:b/>
          <w:i w:val="0"/>
          <w:color w:val="000000"/>
          <w:sz w:val="22"/>
        </w:rPr>
        <w:t>Basis.</w:t>
      </w:r>
      <w:r>
        <w:rPr>
          <w:rFonts w:ascii="Calibri" w:hAnsi="Calibri"/>
          <w:i w:val="0"/>
          <w:color w:val="000000"/>
          <w:sz w:val="22"/>
        </w:rPr>
        <w:t xml:space="preserve"> ACI-17 establishes a 50-year manufacturer-warranty concept. The exact contract language is deliberately aligned with P3's issued Standard Warranty.</w:t>
      </w:r>
    </w:p>
    <w:p>
      <w:pPr>
        <w:keepLines/>
      </w:pPr>
      <w:r>
        <w:rPr>
          <w:rFonts w:ascii="Calibri" w:hAnsi="Calibri"/>
          <w:b/>
          <w:i w:val="0"/>
          <w:color w:val="000000"/>
          <w:sz w:val="22"/>
        </w:rPr>
        <w:t>Why commencement is installation, not project completion.</w:t>
      </w:r>
      <w:r>
        <w:rPr>
          <w:rFonts w:ascii="Calibri" w:hAnsi="Calibri"/>
          <w:i w:val="0"/>
          <w:color w:val="000000"/>
          <w:sz w:val="22"/>
        </w:rPr>
        <w:t xml:space="preserve"> P3's standard form starts at installation. Using project completion would create a promise different from the document P3 actually issues and could extend exposure through an uncontrolled project delay.</w:t>
      </w:r>
    </w:p>
    <w:p>
      <w:pPr>
        <w:keepLines/>
      </w:pPr>
      <w:r>
        <w:rPr>
          <w:rFonts w:ascii="Calibri" w:hAnsi="Calibri"/>
          <w:b/>
          <w:i w:val="0"/>
          <w:color w:val="000000"/>
          <w:sz w:val="22"/>
        </w:rPr>
        <w:t>Why repair or replacement at manufacturer discretion.</w:t>
      </w:r>
      <w:r>
        <w:rPr>
          <w:rFonts w:ascii="Calibri" w:hAnsi="Calibri"/>
          <w:i w:val="0"/>
          <w:color w:val="000000"/>
          <w:sz w:val="22"/>
        </w:rPr>
        <w:t xml:space="preserve"> That is the actual standard remedy. The clause does not silently add excavation, bypass pumping, traffic control, consequential damage, or restoration obligations that the warranty does not promise.</w:t>
      </w:r>
    </w:p>
    <w:p>
      <w:pPr>
        <w:keepLines/>
      </w:pPr>
      <w:r>
        <w:rPr>
          <w:rFonts w:ascii="Calibri" w:hAnsi="Calibri"/>
          <w:b/>
          <w:i w:val="0"/>
          <w:color w:val="000000"/>
          <w:sz w:val="22"/>
        </w:rPr>
        <w:t>Why third-party accessories are excluded.</w:t>
      </w:r>
      <w:r>
        <w:rPr>
          <w:rFonts w:ascii="Calibri" w:hAnsi="Calibri"/>
          <w:i w:val="0"/>
          <w:color w:val="000000"/>
          <w:sz w:val="22"/>
        </w:rPr>
        <w:t xml:space="preserve"> P3 does not manufacture every boot, connector, or accessory and should not supersede those manufacturers' warranties. P3 still retains system-coordination responsibility under 1.4.B.</w:t>
      </w:r>
    </w:p>
    <w:p>
      <w:pPr>
        <w:keepLines/>
      </w:pPr>
      <w:r>
        <w:rPr>
          <w:rFonts w:ascii="Calibri" w:hAnsi="Calibri"/>
          <w:b/>
          <w:i w:val="0"/>
          <w:color w:val="000000"/>
          <w:sz w:val="22"/>
        </w:rPr>
        <w:t>Further reading.</w:t>
      </w:r>
      <w:r>
        <w:rPr>
          <w:rFonts w:ascii="Calibri" w:hAnsi="Calibri"/>
          <w:i w:val="0"/>
          <w:color w:val="000000"/>
          <w:sz w:val="22"/>
        </w:rPr>
        <w:t xml:space="preserve"> ACI-17 Section 16; P3 Standard Warranty; Sakhakarmi (2017) for lifecycle economics and the important limitation that 50-year PC service life remains a warranted/projection basis rather than 50 years of universal field observation.</w:t>
      </w:r>
    </w:p>
    <w:p>
      <w:pPr>
        <w:pStyle w:val="Heading1"/>
        <w:pageBreakBefore/>
      </w:pPr>
      <w:r>
        <w:t>PART 2 - PRODUCTS: COMMENTARY</w:t>
      </w:r>
    </w:p>
    <w:p>
      <w:pPr>
        <w:pStyle w:val="Heading2"/>
      </w:pPr>
      <w:r>
        <w:t>C2.1 MANUFACTURERS</w:t>
      </w:r>
    </w:p>
    <w:p>
      <w:pPr>
        <w:pStyle w:val="Heading3"/>
      </w:pPr>
      <w:r>
        <w:t>C2.1.A Basis of design</w:t>
      </w:r>
    </w:p>
    <w:p>
      <w:pPr>
        <w:keepLines/>
      </w:pPr>
      <w:r>
        <w:rPr>
          <w:rFonts w:ascii="Calibri" w:hAnsi="Calibri"/>
          <w:b/>
          <w:i w:val="0"/>
          <w:color w:val="000000"/>
          <w:sz w:val="22"/>
        </w:rPr>
        <w:t>Why it is here.</w:t>
      </w:r>
      <w:r>
        <w:rPr>
          <w:rFonts w:ascii="Calibri" w:hAnsi="Calibri"/>
          <w:i w:val="0"/>
          <w:color w:val="000000"/>
          <w:sz w:val="22"/>
        </w:rPr>
        <w:t xml:space="preserve"> Naming P3 fixes the geometry, materials, performance, and warranty baseline used to coordinate the project.</w:t>
      </w:r>
    </w:p>
    <w:p>
      <w:pPr>
        <w:keepLines/>
      </w:pPr>
      <w:r>
        <w:rPr>
          <w:rFonts w:ascii="Calibri" w:hAnsi="Calibri"/>
          <w:b/>
          <w:i w:val="0"/>
          <w:color w:val="000000"/>
          <w:sz w:val="22"/>
        </w:rPr>
        <w:t>Why it is not automatically sole source.</w:t>
      </w:r>
      <w:r>
        <w:rPr>
          <w:rFonts w:ascii="Calibri" w:hAnsi="Calibri"/>
          <w:i w:val="0"/>
          <w:color w:val="000000"/>
          <w:sz w:val="22"/>
        </w:rPr>
        <w:t xml:space="preserve"> Public and private procurement rules differ. The companion approved-equal clause allows competition while requiring the complete performance package, not superficial equivalence.</w:t>
      </w:r>
    </w:p>
    <w:p>
      <w:pPr>
        <w:pStyle w:val="Heading3"/>
      </w:pPr>
      <w:r>
        <w:t>C2.1.B Substitutions</w:t>
      </w:r>
    </w:p>
    <w:p>
      <w:pPr>
        <w:keepLines/>
      </w:pPr>
      <w:r>
        <w:rPr>
          <w:rFonts w:ascii="Calibri" w:hAnsi="Calibri"/>
          <w:b/>
          <w:i w:val="0"/>
          <w:color w:val="000000"/>
          <w:sz w:val="22"/>
        </w:rPr>
        <w:t>Why it is here.</w:t>
      </w:r>
      <w:r>
        <w:rPr>
          <w:rFonts w:ascii="Calibri" w:hAnsi="Calibri"/>
          <w:i w:val="0"/>
          <w:color w:val="000000"/>
          <w:sz w:val="22"/>
        </w:rPr>
        <w:t xml:space="preserve"> Division 01 controls timing, documentation, and approval. A substitute must meet every requirement, including minimum nominal manufacturing geometry, styrene-free vinyl ester resin, steel reinforcement, current chemical qualification, structural design, QC, and warranty.</w:t>
      </w:r>
    </w:p>
    <w:p>
      <w:pPr>
        <w:keepLines/>
      </w:pPr>
      <w:r>
        <w:rPr>
          <w:rFonts w:ascii="Calibri" w:hAnsi="Calibri"/>
          <w:b/>
          <w:i w:val="0"/>
          <w:color w:val="000000"/>
          <w:sz w:val="22"/>
        </w:rPr>
        <w:t>Basis-of-design effect.</w:t>
      </w:r>
      <w:r>
        <w:rPr>
          <w:rFonts w:ascii="Calibri" w:hAnsi="Calibri"/>
          <w:i w:val="0"/>
          <w:color w:val="000000"/>
          <w:sz w:val="22"/>
        </w:rPr>
        <w:t xml:space="preserve"> The requirements establish a complete product platform—materials, manufacturing geometry, reinforcement, qualification, structural design, documentation, and warranty. An approved equal must satisfy that complete set rather than matching only compressive strength or nominal diameter.</w:t>
      </w:r>
    </w:p>
    <w:p>
      <w:pPr>
        <w:pStyle w:val="Heading2"/>
      </w:pPr>
      <w:r>
        <w:t>C2.2 PERFORMANCE REQUIREMENTS</w:t>
      </w:r>
    </w:p>
    <w:p>
      <w:pPr>
        <w:pStyle w:val="Heading3"/>
      </w:pPr>
      <w:r>
        <w:t>C2.2.A General compliance</w:t>
      </w:r>
    </w:p>
    <w:p>
      <w:pPr>
        <w:pStyle w:val="SpecificationQuote"/>
        <w:shd w:fill="E8EEF5"/>
      </w:pPr>
      <w:r>
        <w:rPr>
          <w:rFonts w:ascii="Calibri" w:hAnsi="Calibri"/>
          <w:i/>
          <w:color w:val="1F4D78"/>
          <w:sz w:val="20"/>
        </w:rPr>
        <w:t>“Complying with ACI SPEC-548.17-25, except as modified by this Section.”</w:t>
      </w:r>
    </w:p>
    <w:p>
      <w:pPr>
        <w:keepLines/>
      </w:pPr>
      <w:r>
        <w:rPr>
          <w:rFonts w:ascii="Calibri" w:hAnsi="Calibri"/>
          <w:b/>
          <w:i w:val="0"/>
          <w:color w:val="000000"/>
          <w:sz w:val="22"/>
        </w:rPr>
        <w:t>Why it is here.</w:t>
      </w:r>
      <w:r>
        <w:rPr>
          <w:rFonts w:ascii="Calibri" w:hAnsi="Calibri"/>
          <w:i w:val="0"/>
          <w:color w:val="000000"/>
          <w:sz w:val="22"/>
        </w:rPr>
        <w:t xml:space="preserve"> Incorporation avoids reproducing a copyrighted consensus specification and gives reviewers a recognizable baseline. The modification phrase makes the more stringent or project-specific clauses below controlling.</w:t>
      </w:r>
    </w:p>
    <w:p>
      <w:pPr>
        <w:keepLines/>
      </w:pPr>
      <w:r>
        <w:rPr>
          <w:rFonts w:ascii="Calibri" w:hAnsi="Calibri"/>
          <w:b/>
          <w:i w:val="0"/>
          <w:color w:val="000000"/>
          <w:sz w:val="22"/>
        </w:rPr>
        <w:t>Why not say ‘meet all applicable standards.’</w:t>
      </w:r>
      <w:r>
        <w:rPr>
          <w:rFonts w:ascii="Calibri" w:hAnsi="Calibri"/>
          <w:i w:val="0"/>
          <w:color w:val="000000"/>
          <w:sz w:val="22"/>
        </w:rPr>
        <w:t xml:space="preserve"> That formulation does not resolve conflicts or tell the contractor which document is primary.</w:t>
      </w:r>
    </w:p>
    <w:p>
      <w:pPr>
        <w:pStyle w:val="Heading3"/>
      </w:pPr>
      <w:r>
        <w:t>C2.2.B.1 Strength design and loads</w:t>
      </w:r>
    </w:p>
    <w:p>
      <w:pPr>
        <w:keepLines/>
      </w:pPr>
      <w:r>
        <w:rPr>
          <w:rFonts w:ascii="Calibri" w:hAnsi="Calibri"/>
          <w:b/>
          <w:i w:val="0"/>
          <w:color w:val="000000"/>
          <w:sz w:val="22"/>
        </w:rPr>
        <w:t>Why it is here.</w:t>
      </w:r>
      <w:r>
        <w:rPr>
          <w:rFonts w:ascii="Calibri" w:hAnsi="Calibri"/>
          <w:i w:val="0"/>
          <w:color w:val="000000"/>
          <w:sz w:val="22"/>
        </w:rPr>
        <w:t xml:space="preserve"> Manholes see dead load, earth and hydrostatic pressure, traffic surcharge, handling, lifting, installation, openings, and temporary conditions. The strength-design framework keeps load factors and resistance treatment explicit.</w:t>
      </w:r>
    </w:p>
    <w:p>
      <w:pPr>
        <w:keepLines/>
      </w:pPr>
      <w:r>
        <w:rPr>
          <w:rFonts w:ascii="Calibri" w:hAnsi="Calibri"/>
          <w:b/>
          <w:i w:val="0"/>
          <w:color w:val="000000"/>
          <w:sz w:val="22"/>
        </w:rPr>
        <w:t>Basis.</w:t>
      </w:r>
      <w:r>
        <w:rPr>
          <w:rFonts w:ascii="Calibri" w:hAnsi="Calibri"/>
          <w:i w:val="0"/>
          <w:color w:val="000000"/>
          <w:sz w:val="22"/>
        </w:rPr>
        <w:t xml:space="preserve"> ACI-17 Section 8, ACI-350, and ASTM C857. A-16 heavy traffic is the consensus default unless the Drawings indicate a different or more severe loading.</w:t>
      </w:r>
    </w:p>
    <w:p>
      <w:pPr>
        <w:keepLines/>
      </w:pPr>
      <w:r>
        <w:rPr>
          <w:rFonts w:ascii="Calibri" w:hAnsi="Calibri"/>
          <w:b/>
          <w:i w:val="0"/>
          <w:color w:val="000000"/>
          <w:sz w:val="22"/>
        </w:rPr>
        <w:t>Why ‘unless another loading is indicated.’</w:t>
      </w:r>
      <w:r>
        <w:rPr>
          <w:rFonts w:ascii="Calibri" w:hAnsi="Calibri"/>
          <w:i w:val="0"/>
          <w:color w:val="000000"/>
          <w:sz w:val="22"/>
        </w:rPr>
        <w:t xml:space="preserve"> Project drawings may identify aircraft, rail, crane outrigger, deep-fill, construction, or pedestrian-only conditions. A generic catalog design cannot anticipate all of them.</w:t>
      </w:r>
    </w:p>
    <w:p>
      <w:pPr>
        <w:pStyle w:val="Heading3"/>
      </w:pPr>
      <w:r>
        <w:t>C2.2.B.2 Baseline soil and bearing values</w:t>
      </w:r>
    </w:p>
    <w:p>
      <w:pPr>
        <w:keepLines/>
      </w:pPr>
      <w:r>
        <w:rPr>
          <w:rFonts w:ascii="Calibri" w:hAnsi="Calibri"/>
          <w:b/>
          <w:i w:val="0"/>
          <w:color w:val="000000"/>
          <w:sz w:val="22"/>
        </w:rPr>
        <w:t>Why it is here.</w:t>
      </w:r>
      <w:r>
        <w:rPr>
          <w:rFonts w:ascii="Calibri" w:hAnsi="Calibri"/>
          <w:i w:val="0"/>
          <w:color w:val="000000"/>
          <w:sz w:val="22"/>
        </w:rPr>
        <w:t xml:space="preserve"> It allows a complete design to be prepared when tracking down a geotechnical report is impractical, while preserving project-specific data when available.</w:t>
      </w:r>
    </w:p>
    <w:p>
      <w:pPr>
        <w:keepLines/>
      </w:pPr>
      <w:r>
        <w:rPr>
          <w:rFonts w:ascii="Calibri" w:hAnsi="Calibri"/>
          <w:b/>
          <w:i w:val="0"/>
          <w:color w:val="000000"/>
          <w:sz w:val="22"/>
        </w:rPr>
        <w:t>Chosen values.</w:t>
      </w:r>
      <w:r>
        <w:rPr>
          <w:rFonts w:ascii="Calibri" w:hAnsi="Calibri"/>
          <w:i w:val="0"/>
          <w:color w:val="000000"/>
          <w:sz w:val="22"/>
        </w:rPr>
        <w:t xml:space="preserve"> Total soil unit weight 120 pcf, water 62.4 pcf, at-rest coefficient K0 = 0.50, and service bearing pressure 2,000 psf are coherent design baselines for ordinary engineered granular backfill. K0 = 0.50 is more appropriate than an active coefficient for a rigid buried structure that should not be assumed to move enough to mobilize active pressure. These are assumptions, not a site investigation.</w:t>
      </w:r>
    </w:p>
    <w:p>
      <w:pPr>
        <w:keepLines/>
      </w:pPr>
      <w:r>
        <w:rPr>
          <w:rFonts w:ascii="Calibri" w:hAnsi="Calibri"/>
          <w:b/>
          <w:i w:val="0"/>
          <w:color w:val="000000"/>
          <w:sz w:val="22"/>
        </w:rPr>
        <w:t>Why the geotechnical value normally governs.</w:t>
      </w:r>
      <w:r>
        <w:rPr>
          <w:rFonts w:ascii="Calibri" w:hAnsi="Calibri"/>
          <w:i w:val="0"/>
          <w:color w:val="000000"/>
          <w:sz w:val="22"/>
        </w:rPr>
        <w:t xml:space="preserve"> Actual soils can be heavier, expansive, soft, organic, uncontrolled, seismic, or incapable of supporting 2,000 psf. The geotechnical report can legitimately make the design either more or less demanding.</w:t>
      </w:r>
    </w:p>
    <w:p>
      <w:pPr>
        <w:keepLines/>
      </w:pPr>
      <w:r>
        <w:rPr>
          <w:rFonts w:ascii="Calibri" w:hAnsi="Calibri"/>
          <w:b/>
          <w:i w:val="0"/>
          <w:color w:val="000000"/>
          <w:sz w:val="22"/>
        </w:rPr>
        <w:t>Why not say ‘whichever is more demanding.’</w:t>
      </w:r>
      <w:r>
        <w:rPr>
          <w:rFonts w:ascii="Calibri" w:hAnsi="Calibri"/>
          <w:i w:val="0"/>
          <w:color w:val="000000"/>
          <w:sz w:val="22"/>
        </w:rPr>
        <w:t xml:space="preserve"> That would prevent the geotechnical professional from deliberately selecting a less conservative but site-supported value and would mix unrelated parameters. The line instead uses project geotechnical values when available and otherwise supplies a coherent baseline.</w:t>
      </w:r>
    </w:p>
    <w:p>
      <w:pPr>
        <w:pStyle w:val="Heading3"/>
      </w:pPr>
      <w:r>
        <w:t>C2.2.B.3 Groundwater at finished grade</w:t>
      </w:r>
    </w:p>
    <w:p>
      <w:pPr>
        <w:keepLines/>
      </w:pPr>
      <w:r>
        <w:rPr>
          <w:rFonts w:ascii="Calibri" w:hAnsi="Calibri"/>
          <w:b/>
          <w:i w:val="0"/>
          <w:color w:val="000000"/>
          <w:sz w:val="22"/>
        </w:rPr>
        <w:t>Why it is here.</w:t>
      </w:r>
      <w:r>
        <w:rPr>
          <w:rFonts w:ascii="Calibri" w:hAnsi="Calibri"/>
          <w:i w:val="0"/>
          <w:color w:val="000000"/>
          <w:sz w:val="22"/>
        </w:rPr>
        <w:t xml:space="preserve"> High groundwater commonly governs external pressure and flotation. Assuming it at grade is conservative enough to make a design possible without a report.</w:t>
      </w:r>
    </w:p>
    <w:p>
      <w:pPr>
        <w:keepLines/>
      </w:pPr>
      <w:r>
        <w:rPr>
          <w:rFonts w:ascii="Calibri" w:hAnsi="Calibri"/>
          <w:b/>
          <w:i w:val="0"/>
          <w:color w:val="000000"/>
          <w:sz w:val="22"/>
        </w:rPr>
        <w:t>Why the report may override it.</w:t>
      </w:r>
      <w:r>
        <w:rPr>
          <w:rFonts w:ascii="Calibri" w:hAnsi="Calibri"/>
          <w:i w:val="0"/>
          <w:color w:val="000000"/>
          <w:sz w:val="22"/>
        </w:rPr>
        <w:t xml:space="preserve"> A documented design groundwater elevation can be lower or higher and may account for seasonal, flood, perched, or dewatering conditions. The sealed engineer remains responsible for choosing the project elevation.</w:t>
      </w:r>
    </w:p>
    <w:p>
      <w:pPr>
        <w:pStyle w:val="Heading3"/>
      </w:pPr>
      <w:r>
        <w:t>C2.2.B.4 Lateral pressure equation</w:t>
      </w:r>
    </w:p>
    <w:p>
      <w:pPr>
        <w:keepLines/>
      </w:pPr>
      <w:r>
        <w:rPr>
          <w:rFonts w:ascii="Calibri" w:hAnsi="Calibri"/>
          <w:b/>
          <w:i w:val="0"/>
          <w:color w:val="000000"/>
          <w:sz w:val="22"/>
        </w:rPr>
        <w:t>Why it is here.</w:t>
      </w:r>
      <w:r>
        <w:rPr>
          <w:rFonts w:ascii="Calibri" w:hAnsi="Calibri"/>
          <w:i w:val="0"/>
          <w:color w:val="000000"/>
          <w:sz w:val="22"/>
        </w:rPr>
        <w:t xml:space="preserve"> It prevents double-counting water weight below groundwater. Soil effective stress uses buoyant unit weight; hydrostatic pressure is added separately.</w:t>
      </w:r>
    </w:p>
    <w:p>
      <w:pPr>
        <w:keepLines/>
      </w:pPr>
      <w:r>
        <w:rPr>
          <w:rFonts w:ascii="Calibri" w:hAnsi="Calibri"/>
          <w:b/>
          <w:i w:val="0"/>
          <w:color w:val="000000"/>
          <w:sz w:val="22"/>
        </w:rPr>
        <w:t>Basis.</w:t>
      </w:r>
      <w:r>
        <w:rPr>
          <w:rFonts w:ascii="Calibri" w:hAnsi="Calibri"/>
          <w:i w:val="0"/>
          <w:color w:val="000000"/>
          <w:sz w:val="22"/>
        </w:rPr>
        <w:t xml:space="preserve"> Basic effective-stress soil mechanics and the ACI-17 requirement to include lateral soil and fluid effects.</w:t>
      </w:r>
    </w:p>
    <w:p>
      <w:pPr>
        <w:keepLines/>
      </w:pPr>
      <w:r>
        <w:rPr>
          <w:rFonts w:ascii="Calibri" w:hAnsi="Calibri"/>
          <w:b/>
          <w:i w:val="0"/>
          <w:color w:val="000000"/>
          <w:sz w:val="22"/>
        </w:rPr>
        <w:t>Why at-rest pressure by default.</w:t>
      </w:r>
      <w:r>
        <w:rPr>
          <w:rFonts w:ascii="Calibri" w:hAnsi="Calibri"/>
          <w:i w:val="0"/>
          <w:color w:val="000000"/>
          <w:sz w:val="22"/>
        </w:rPr>
        <w:t xml:space="preserve"> Active pressure requires sufficient lateral movement. A rigid circular manhole should not be assumed to mobilize that movement when site data are absent. K0 = 0.50 is a common granular-backfill baseline; project geotechnical values may establish another coefficient.</w:t>
      </w:r>
    </w:p>
    <w:p>
      <w:pPr>
        <w:keepLines/>
      </w:pPr>
      <w:r>
        <w:rPr>
          <w:rFonts w:ascii="Calibri" w:hAnsi="Calibri"/>
          <w:b/>
          <w:i w:val="0"/>
          <w:color w:val="000000"/>
          <w:sz w:val="22"/>
        </w:rPr>
        <w:t>Further reading.</w:t>
      </w:r>
      <w:r>
        <w:rPr>
          <w:rFonts w:ascii="Calibri" w:hAnsi="Calibri"/>
          <w:i w:val="0"/>
          <w:color w:val="000000"/>
          <w:sz w:val="22"/>
        </w:rPr>
        <w:t xml:space="preserve"> Project geotechnical report; ACI-17 Section 8. The stated K0 value is a project-design baseline, not a value attributed to ACI-17.</w:t>
      </w:r>
    </w:p>
    <w:p>
      <w:pPr>
        <w:pStyle w:val="Heading3"/>
      </w:pPr>
      <w:r>
        <w:t>C2.2.B.5 External and internal liquid cases</w:t>
      </w:r>
    </w:p>
    <w:p>
      <w:pPr>
        <w:keepLines/>
      </w:pPr>
      <w:r>
        <w:rPr>
          <w:rFonts w:ascii="Calibri" w:hAnsi="Calibri"/>
          <w:b/>
          <w:i w:val="0"/>
          <w:color w:val="000000"/>
          <w:sz w:val="22"/>
        </w:rPr>
        <w:t>Why it is here.</w:t>
      </w:r>
      <w:r>
        <w:rPr>
          <w:rFonts w:ascii="Calibri" w:hAnsi="Calibri"/>
          <w:i w:val="0"/>
          <w:color w:val="000000"/>
          <w:sz w:val="22"/>
        </w:rPr>
        <w:t xml:space="preserve"> An empty manhole under groundwater can govern external compression and flotation; an internal liquid head can govern the opposite wall-pressure direction. Both cases are needed.</w:t>
      </w:r>
    </w:p>
    <w:p>
      <w:pPr>
        <w:keepLines/>
      </w:pPr>
      <w:r>
        <w:rPr>
          <w:rFonts w:ascii="Calibri" w:hAnsi="Calibri"/>
          <w:b/>
          <w:i w:val="0"/>
          <w:color w:val="000000"/>
          <w:sz w:val="22"/>
        </w:rPr>
        <w:t>Why 63 pcf.</w:t>
      </w:r>
      <w:r>
        <w:rPr>
          <w:rFonts w:ascii="Calibri" w:hAnsi="Calibri"/>
          <w:i w:val="0"/>
          <w:color w:val="000000"/>
          <w:sz w:val="22"/>
        </w:rPr>
        <w:t xml:space="preserve"> It is a modestly conservative sewage/liquid baseline above pure water. A denser industrial liquid must be stated by the project. Allowing a lower design liquid elevation recognizes a specifically controlled process condition.</w:t>
      </w:r>
    </w:p>
    <w:p>
      <w:pPr>
        <w:pStyle w:val="Heading3"/>
      </w:pPr>
      <w:r>
        <w:t>C2.2.B.6 Base bearing pressure</w:t>
      </w:r>
    </w:p>
    <w:p>
      <w:pPr>
        <w:keepLines/>
      </w:pPr>
      <w:r>
        <w:rPr>
          <w:rFonts w:ascii="Calibri" w:hAnsi="Calibri"/>
          <w:b/>
          <w:i w:val="0"/>
          <w:color w:val="000000"/>
          <w:sz w:val="22"/>
        </w:rPr>
        <w:t>Why it is here.</w:t>
      </w:r>
      <w:r>
        <w:rPr>
          <w:rFonts w:ascii="Calibri" w:hAnsi="Calibri"/>
          <w:i w:val="0"/>
          <w:color w:val="000000"/>
          <w:sz w:val="22"/>
        </w:rPr>
        <w:t xml:space="preserve"> Bearing must be checked using the complete applicable vertical service-load set, including permanent anti-flotation measures where present.</w:t>
      </w:r>
    </w:p>
    <w:p>
      <w:pPr>
        <w:keepLines/>
      </w:pPr>
      <w:r>
        <w:rPr>
          <w:rFonts w:ascii="Calibri" w:hAnsi="Calibri"/>
          <w:b/>
          <w:i w:val="0"/>
          <w:color w:val="000000"/>
          <w:sz w:val="22"/>
        </w:rPr>
        <w:t>Why service loads.</w:t>
      </w:r>
      <w:r>
        <w:rPr>
          <w:rFonts w:ascii="Calibri" w:hAnsi="Calibri"/>
          <w:i w:val="0"/>
          <w:color w:val="000000"/>
          <w:sz w:val="22"/>
        </w:rPr>
        <w:t xml:space="preserve"> Allowable bearing pressure is ordinarily a service-level geotechnical value. Comparing it to factored structural demand without a compatible resistance basis would be inconsistent.</w:t>
      </w:r>
    </w:p>
    <w:p>
      <w:pPr>
        <w:keepLines/>
      </w:pPr>
      <w:r>
        <w:rPr>
          <w:rFonts w:ascii="Calibri" w:hAnsi="Calibri"/>
          <w:b/>
          <w:i w:val="0"/>
          <w:color w:val="000000"/>
          <w:sz w:val="22"/>
        </w:rPr>
        <w:t>Why full-area uniform support.</w:t>
      </w:r>
      <w:r>
        <w:rPr>
          <w:rFonts w:ascii="Calibri" w:hAnsi="Calibri"/>
          <w:i w:val="0"/>
          <w:color w:val="000000"/>
          <w:sz w:val="22"/>
        </w:rPr>
        <w:t xml:space="preserve"> It is the intended installation condition and avoids assuming beneficial partial bearing. If field conditions cannot provide it, the foundation design must change.</w:t>
      </w:r>
    </w:p>
    <w:p>
      <w:pPr>
        <w:pStyle w:val="Heading3"/>
      </w:pPr>
      <w:r>
        <w:t>C2.2.B.7 Flotation factor of safety</w:t>
      </w:r>
    </w:p>
    <w:p>
      <w:pPr>
        <w:keepLines/>
      </w:pPr>
      <w:r>
        <w:rPr>
          <w:rFonts w:ascii="Calibri" w:hAnsi="Calibri"/>
          <w:b/>
          <w:i w:val="0"/>
          <w:color w:val="000000"/>
          <w:sz w:val="22"/>
        </w:rPr>
        <w:t>Why it is here.</w:t>
      </w:r>
      <w:r>
        <w:rPr>
          <w:rFonts w:ascii="Calibri" w:hAnsi="Calibri"/>
          <w:i w:val="0"/>
          <w:color w:val="000000"/>
          <w:sz w:val="22"/>
        </w:rPr>
        <w:t xml:space="preserve"> The empty structure is vulnerable before commissioning, during maintenance, or after dewatering. A minimum 1.2 factor follows ACI-17.</w:t>
      </w:r>
    </w:p>
    <w:p>
      <w:pPr>
        <w:keepLines/>
      </w:pPr>
      <w:r>
        <w:rPr>
          <w:rFonts w:ascii="Calibri" w:hAnsi="Calibri"/>
          <w:b/>
          <w:i w:val="0"/>
          <w:color w:val="000000"/>
          <w:sz w:val="22"/>
        </w:rPr>
        <w:t>Why not 1.5.</w:t>
      </w:r>
      <w:r>
        <w:rPr>
          <w:rFonts w:ascii="Calibri" w:hAnsi="Calibri"/>
          <w:i w:val="0"/>
          <w:color w:val="000000"/>
          <w:sz w:val="22"/>
        </w:rPr>
        <w:t xml:space="preserve"> Some owner criteria use 1.5. That is more conservative but is not the ACI-17 minimum and can force additional ballast or larger geometry where project conditions do not require it. The project may still specify a higher factor.</w:t>
      </w:r>
    </w:p>
    <w:p>
      <w:pPr>
        <w:keepLines/>
      </w:pPr>
      <w:r>
        <w:rPr>
          <w:rFonts w:ascii="Calibri" w:hAnsi="Calibri"/>
          <w:b/>
          <w:i w:val="0"/>
          <w:color w:val="000000"/>
          <w:sz w:val="22"/>
        </w:rPr>
        <w:t>Why side friction is usually ignored.</w:t>
      </w:r>
      <w:r>
        <w:rPr>
          <w:rFonts w:ascii="Calibri" w:hAnsi="Calibri"/>
          <w:i w:val="0"/>
          <w:color w:val="000000"/>
          <w:sz w:val="22"/>
        </w:rPr>
        <w:t xml:space="preserve"> It is uncertain, installation dependent, and may degrade. When supported by geotechnical values, ACI-17 limits the polymer-concrete structure's credited value to 75 percent of the comparable Portland-cement concrete value.</w:t>
      </w:r>
    </w:p>
    <w:p>
      <w:pPr>
        <w:pStyle w:val="Heading3"/>
      </w:pPr>
      <w:r>
        <w:t>C2.2.B.8 Anti-flotation restraint</w:t>
      </w:r>
    </w:p>
    <w:p>
      <w:pPr>
        <w:keepLines/>
      </w:pPr>
      <w:r>
        <w:rPr>
          <w:rFonts w:ascii="Calibri" w:hAnsi="Calibri"/>
          <w:b/>
          <w:i w:val="0"/>
          <w:color w:val="000000"/>
          <w:sz w:val="22"/>
        </w:rPr>
        <w:t>Why it is here.</w:t>
      </w:r>
      <w:r>
        <w:rPr>
          <w:rFonts w:ascii="Calibri" w:hAnsi="Calibri"/>
          <w:i w:val="0"/>
          <w:color w:val="000000"/>
          <w:sz w:val="22"/>
        </w:rPr>
        <w:t xml:space="preserve"> The calculation must lead to a physical solution—lip, ballast, larger base, anchors, or another engineered restraint—when self-weight is insufficient.</w:t>
      </w:r>
    </w:p>
    <w:p>
      <w:pPr>
        <w:keepLines/>
      </w:pPr>
      <w:r>
        <w:rPr>
          <w:rFonts w:ascii="Calibri" w:hAnsi="Calibri"/>
          <w:b/>
          <w:i w:val="0"/>
          <w:color w:val="000000"/>
          <w:sz w:val="22"/>
        </w:rPr>
        <w:t>Why not prescribe one universal detail.</w:t>
      </w:r>
      <w:r>
        <w:rPr>
          <w:rFonts w:ascii="Calibri" w:hAnsi="Calibri"/>
          <w:i w:val="0"/>
          <w:color w:val="000000"/>
          <w:sz w:val="22"/>
        </w:rPr>
        <w:t xml:space="preserve"> Groundwater, depth, diameter, excavation, and owner preferences vary. The solution belongs on the sealed shop drawings and must remain compatible with the Table 1 manufacturing geometry.</w:t>
      </w:r>
    </w:p>
    <w:p>
      <w:pPr>
        <w:keepLines/>
      </w:pPr>
      <w:r>
        <w:rPr>
          <w:rFonts w:ascii="Calibri" w:hAnsi="Calibri"/>
          <w:b/>
          <w:i w:val="0"/>
          <w:color w:val="000000"/>
          <w:sz w:val="22"/>
        </w:rPr>
        <w:t>Further reading.</w:t>
      </w:r>
      <w:r>
        <w:rPr>
          <w:rFonts w:ascii="Calibri" w:hAnsi="Calibri"/>
          <w:i w:val="0"/>
          <w:color w:val="000000"/>
          <w:sz w:val="22"/>
        </w:rPr>
        <w:t xml:space="preserve"> ACI-17 Section 8.4; American Concrete Pipe Association Design Data 41, </w:t>
      </w:r>
      <w:r>
        <w:rPr>
          <w:rFonts w:ascii="Calibri" w:hAnsi="Calibri"/>
          <w:i/>
          <w:color w:val="000000"/>
          <w:sz w:val="22"/>
        </w:rPr>
        <w:t>Manhole Flotation</w:t>
      </w:r>
      <w:r>
        <w:rPr>
          <w:rFonts w:ascii="Calibri" w:hAnsi="Calibri"/>
          <w:i w:val="0"/>
          <w:color w:val="000000"/>
          <w:sz w:val="22"/>
        </w:rPr>
        <w:t>.</w:t>
      </w:r>
    </w:p>
    <w:p>
      <w:pPr>
        <w:pStyle w:val="Heading3"/>
      </w:pPr>
      <w:r>
        <w:t>C2.2.B.9 Sustained loads and creep rupture</w:t>
      </w:r>
    </w:p>
    <w:p>
      <w:pPr>
        <w:keepLines/>
      </w:pPr>
      <w:r>
        <w:rPr>
          <w:rFonts w:ascii="Calibri" w:hAnsi="Calibri"/>
          <w:b/>
          <w:i w:val="0"/>
          <w:color w:val="000000"/>
          <w:sz w:val="22"/>
        </w:rPr>
        <w:t>Why it is here.</w:t>
      </w:r>
      <w:r>
        <w:rPr>
          <w:rFonts w:ascii="Calibri" w:hAnsi="Calibri"/>
          <w:i w:val="0"/>
          <w:color w:val="000000"/>
          <w:sz w:val="22"/>
        </w:rPr>
        <w:t xml:space="preserve"> Polymer concrete can be strong in a short test but respond differently under long-duration stress and elevated temperature. ACI-17 specifically requires the long-term condition to be considered.</w:t>
      </w:r>
    </w:p>
    <w:p>
      <w:pPr>
        <w:keepLines/>
      </w:pPr>
      <w:r>
        <w:rPr>
          <w:rFonts w:ascii="Calibri" w:hAnsi="Calibri"/>
          <w:b/>
          <w:i w:val="0"/>
          <w:color w:val="000000"/>
          <w:sz w:val="22"/>
        </w:rPr>
        <w:t>Why not infer creep from compressive strength.</w:t>
      </w:r>
      <w:r>
        <w:rPr>
          <w:rFonts w:ascii="Calibri" w:hAnsi="Calibri"/>
          <w:i w:val="0"/>
          <w:color w:val="000000"/>
          <w:sz w:val="22"/>
        </w:rPr>
        <w:t xml:space="preserve"> Short-term compressive strength does not establish long-term behavior. Use the sustained-load provisions of ACI-17 and ACI PRC-548.6 or validated product-specific data.</w:t>
      </w:r>
    </w:p>
    <w:p>
      <w:pPr>
        <w:keepLines/>
      </w:pPr>
      <w:r>
        <w:rPr>
          <w:rFonts w:ascii="Calibri" w:hAnsi="Calibri"/>
          <w:b/>
          <w:i w:val="0"/>
          <w:color w:val="000000"/>
          <w:sz w:val="22"/>
        </w:rPr>
        <w:t>Further reading.</w:t>
      </w:r>
      <w:r>
        <w:rPr>
          <w:rFonts w:ascii="Calibri" w:hAnsi="Calibri"/>
          <w:i w:val="0"/>
          <w:color w:val="000000"/>
          <w:sz w:val="22"/>
        </w:rPr>
        <w:t xml:space="preserve"> ACI-17 Section 8.6; ACI PRC-548.6-19.</w:t>
      </w:r>
    </w:p>
    <w:p>
      <w:pPr>
        <w:pStyle w:val="Heading3"/>
      </w:pPr>
      <w:r>
        <w:t>C2.2.B.10 Minimum steel reinforcement</w:t>
      </w:r>
    </w:p>
    <w:p>
      <w:pPr>
        <w:keepLines/>
      </w:pPr>
      <w:r>
        <w:rPr>
          <w:rFonts w:ascii="Calibri" w:hAnsi="Calibri"/>
          <w:b/>
          <w:i w:val="0"/>
          <w:color w:val="000000"/>
          <w:sz w:val="22"/>
        </w:rPr>
        <w:t>Why it is here.</w:t>
      </w:r>
      <w:r>
        <w:rPr>
          <w:rFonts w:ascii="Calibri" w:hAnsi="Calibri"/>
          <w:i w:val="0"/>
          <w:color w:val="000000"/>
          <w:sz w:val="22"/>
        </w:rPr>
        <w:t xml:space="preserve"> The structural calculation alone may predict little or no reinforcement because of high polymer-concrete strength. The specification intentionally retains steel for robustness, handling, local opening forces, temperature/shrinkage effects, crack control, and redundancy.</w:t>
      </w:r>
    </w:p>
    <w:p>
      <w:pPr>
        <w:keepLines/>
      </w:pPr>
      <w:r>
        <w:rPr>
          <w:rFonts w:ascii="Calibri" w:hAnsi="Calibri"/>
          <w:b/>
          <w:i w:val="0"/>
          <w:color w:val="000000"/>
          <w:sz w:val="22"/>
        </w:rPr>
        <w:t>Basis.</w:t>
      </w:r>
      <w:r>
        <w:rPr>
          <w:rFonts w:ascii="Calibri" w:hAnsi="Calibri"/>
          <w:i w:val="0"/>
          <w:color w:val="000000"/>
          <w:sz w:val="22"/>
        </w:rPr>
        <w:t xml:space="preserve"> ACI-17 permits reinforced polymer concrete and requires at least 3/4-inch cover. ASTM C478 provides the transferable manhole-specific minimums made explicit in the project specification: riser, cone, and base-wall circumferential steel area of 0.0025 times inside diameter in inches per vertical foot; 6-inch maximum circumferential spacing; cage-stabilizing longitudinal members; base-floor steel of 0.12 square inch per linear foot in both directions; grade-ring circumferential steel; and reinforcement at flat-top openings.</w:t>
      </w:r>
    </w:p>
    <w:p>
      <w:r>
        <w:rPr>
          <w:rFonts w:ascii="Calibri" w:hAnsi="Calibri"/>
          <w:b/>
          <w:i w:val="0"/>
          <w:color w:val="000000"/>
          <w:sz w:val="22"/>
        </w:rPr>
        <w:t>How the provisions work together.</w:t>
      </w:r>
      <w:r>
        <w:rPr>
          <w:rFonts w:ascii="Calibri" w:hAnsi="Calibri"/>
          <w:i w:val="0"/>
          <w:color w:val="000000"/>
          <w:sz w:val="22"/>
        </w:rPr>
        <w:t xml:space="preserve"> The C478-derived values are a prescriptive robustness floor. ACI-350 and ACI-17 govern project structural calculations, which may require additional steel but may not erase the stated minimums. The specification states the transferred values directly so the designer does not have to interpret which hydraulic-cement-concrete provisions apply.</w:t>
      </w:r>
    </w:p>
    <w:p>
      <w:pPr>
        <w:keepLines/>
      </w:pPr>
      <w:r>
        <w:rPr>
          <w:rFonts w:ascii="Calibri" w:hAnsi="Calibri"/>
          <w:b/>
          <w:i w:val="0"/>
          <w:color w:val="000000"/>
          <w:sz w:val="22"/>
        </w:rPr>
        <w:t>Why no FRP.</w:t>
      </w:r>
      <w:r>
        <w:rPr>
          <w:rFonts w:ascii="Calibri" w:hAnsi="Calibri"/>
          <w:i w:val="0"/>
          <w:color w:val="000000"/>
          <w:sz w:val="22"/>
        </w:rPr>
        <w:t xml:space="preserve"> The product standard permits other reinforcement systems, but this P3 specification is intentionally steel-only. FRP is not accepted as a one-for-one substitution for the C478-derived steel minimums. FRP bar properties vary by fiber, resin, manufacture, and exposure, and an FRP-reinforced product would require its own material, bond, development, detailing, sustained-load, production, and inspection provisions.</w:t>
      </w:r>
    </w:p>
    <w:p>
      <w:r>
        <w:rPr>
          <w:rFonts w:ascii="Calibri" w:hAnsi="Calibri"/>
          <w:b/>
          <w:i w:val="0"/>
          <w:color w:val="000000"/>
          <w:sz w:val="22"/>
        </w:rPr>
        <w:t>Ductility and human-entry safety.</w:t>
      </w:r>
      <w:r>
        <w:rPr>
          <w:rFonts w:ascii="Calibri" w:hAnsi="Calibri"/>
          <w:i w:val="0"/>
          <w:color w:val="000000"/>
          <w:sz w:val="22"/>
        </w:rPr>
        <w:t xml:space="preserve"> Conventional reinforcing steel has a defined yield mechanism and can redistribute force while undergoing substantial deformation before rupture. FRP bars do not yield; recognized ACI FRP guidance describes them as essentially linear elastic until failure and requires design to account for the resulting lack of ductility. A properly engineered FRP-reinforced member can satisfy strength requirements, but it does not provide the same yielding behavior as a steel-reinforced member. For a buried structure that workers may enter, retaining a familiar ductile reinforcement mechanism is a deliberate robustness and life-safety choice: deformation, cracking, and steel yielding can provide warning and load redistribution that a brittle reinforcement rupture cannot. Steel reinforcement does not make every possible failure ductile, but it avoids replacing the established C478 robustness system with a nonyielding reinforcement system under this standard specification.</w:t>
      </w:r>
    </w:p>
    <w:p>
      <w:r>
        <w:rPr>
          <w:rFonts w:ascii="Calibri" w:hAnsi="Calibri"/>
          <w:b/>
          <w:i w:val="0"/>
          <w:color w:val="000000"/>
          <w:sz w:val="22"/>
        </w:rPr>
        <w:t>Stiffness, crack control, and I&amp;I.</w:t>
      </w:r>
      <w:r>
        <w:rPr>
          <w:rFonts w:ascii="Calibri" w:hAnsi="Calibri"/>
          <w:i w:val="0"/>
          <w:color w:val="000000"/>
          <w:sz w:val="22"/>
        </w:rPr>
        <w:t xml:space="preserve"> Serviceability is separate from ultimate strength. Common GFRP reinforcement has substantially lower axial modulus than steel; at the same reinforcement area and spacing, it therefore elongates more under a given tensile force and generally permits greater deflection and wider cracks. FHWA reports that FRP reinforcement placed at conventional steel content can produce greater crack spacing and larger crack widths, and ACI FRP design guidance consequently treats crack width and deflection as governing design checks. In a sanitary manhole, those cracks are not merely cosmetic. EPA guidance identifies cracks in manhole barrels and structural materials as pathways for infiltration and inflow (I&amp;I). An FRP-reinforced design may control cracking by using a larger reinforcement area, closer spacing, different bar geometry, or a separately qualified structural system, but the C478 steel minima cannot simply be relabeled as FRP and assumed to provide equivalent crack control.</w:t>
      </w:r>
    </w:p>
    <w:p>
      <w:r>
        <w:rPr>
          <w:rFonts w:ascii="Calibri" w:hAnsi="Calibri"/>
          <w:b/>
          <w:i w:val="0"/>
          <w:color w:val="000000"/>
          <w:sz w:val="22"/>
        </w:rPr>
        <w:t>No manhole-specific consensus design path for FRP bars.</w:t>
      </w:r>
      <w:r>
        <w:rPr>
          <w:rFonts w:ascii="Calibri" w:hAnsi="Calibri"/>
          <w:i w:val="0"/>
          <w:color w:val="000000"/>
          <w:sz w:val="22"/>
        </w:rPr>
        <w:t xml:space="preserve"> No current consensus standard provides a complete design and detailing system for a polymer-concrete manhole reinforced with discrete FRP bars comparable to the C478 provisions for steel. ACI-17 is specific to circular precast polymer-concrete manholes, but it does not prescribe FRP-bar reinforcement areas, ring spacing, cage-stability members, base reinforcement, or opening reinforcement. ACI CODE-440.11 and ACI PRC-440.1 address GFRP bars in Portland-cement structural concrete; they do not establish bond and development in a polymer-concrete matrix or give product-specific details for precast manhole shells. ASTM D7957/D7957M and ASTM D8505 are FRP-bar material specifications, not manhole design standards. ASTM D3753 is specific to fiberglass manholes, but it covers a glass-fiber-reinforced thermoset structural shell rather than polymer concrete containing discrete FRP reinforcing bars.</w:t>
      </w:r>
    </w:p>
    <w:p>
      <w:r>
        <w:rPr>
          <w:rFonts w:ascii="Calibri" w:hAnsi="Calibri"/>
          <w:b/>
          <w:i w:val="0"/>
          <w:color w:val="000000"/>
          <w:sz w:val="22"/>
        </w:rPr>
        <w:t>Design consequence.</w:t>
      </w:r>
      <w:r>
        <w:rPr>
          <w:rFonts w:ascii="Calibri" w:hAnsi="Calibri"/>
          <w:i w:val="0"/>
          <w:color w:val="000000"/>
          <w:sz w:val="22"/>
        </w:rPr>
        <w:t xml:space="preserve"> An FRP-bar-reinforced polymer-concrete manhole would therefore require a separately developed design basis combining the ACI-17 manhole load framework, general FRP design provisions, cylindrical-shell or ring analysis, and product-specific validation. That validation would need to address bond and development in the polymer-concrete matrix, external-pressure and buckling response, ring and longitudinal reinforcement, openings and discontinuities, base and top behavior, handling and lifting, joints, crack width, creep rupture, environmental reduction factors, manufacturing controls, and inspection. This is an extrapolated engineered system, not a material substitution within an established manhole reinforcement schedule. The C478 steel minima cannot be converted to equal areas of FRP without demonstrating equivalent structural and serviceability performance.</w:t>
      </w:r>
    </w:p>
    <w:p>
      <w:pPr>
        <w:keepLines/>
      </w:pPr>
      <w:r>
        <w:rPr>
          <w:rFonts w:ascii="Calibri" w:hAnsi="Calibri"/>
          <w:b/>
          <w:i w:val="0"/>
          <w:color w:val="000000"/>
          <w:sz w:val="22"/>
        </w:rPr>
        <w:t>Why 3/4-inch cover.</w:t>
      </w:r>
      <w:r>
        <w:rPr>
          <w:rFonts w:ascii="Calibri" w:hAnsi="Calibri"/>
          <w:i w:val="0"/>
          <w:color w:val="000000"/>
          <w:sz w:val="22"/>
        </w:rPr>
        <w:t xml:space="preserve"> It is the ACI-17 polymer-concrete minimum, not a reduced value inferred from the absence of cement corrosion.</w:t>
      </w:r>
    </w:p>
    <w:p>
      <w:pPr>
        <w:keepLines/>
      </w:pPr>
      <w:r>
        <w:rPr>
          <w:rFonts w:ascii="Calibri" w:hAnsi="Calibri"/>
          <w:b/>
          <w:i w:val="0"/>
          <w:color w:val="000000"/>
          <w:sz w:val="22"/>
        </w:rPr>
        <w:t>Further reading.</w:t>
      </w:r>
      <w:r>
        <w:rPr>
          <w:rFonts w:ascii="Calibri" w:hAnsi="Calibri"/>
          <w:i w:val="0"/>
          <w:color w:val="000000"/>
          <w:sz w:val="22"/>
        </w:rPr>
        <w:t xml:space="preserve"> ACI-17 Sections 5 and 8; ASTM C478/C478M 14.4.1.1, 14.4.1.6, 14.4.2, 15.4.1, 15.4.2.1, and the flat-top opening-reinforcement provision in the current adopted edition; ACI PRC-440.1-15 and ACI CODE-440.11-22 for the distinct behavior and design treatment of FRP bars in structural concrete; ASTM D7957/D7957M and ASTM D8505 for FRP-bar material requirements; ASTM D3753 for the distinct fiberglass-shell manhole product class; FHWA-HIF-09-012 for the effect of FRP stiffness on crack spacing and width; EPA's </w:t>
      </w:r>
      <w:r>
        <w:rPr>
          <w:rFonts w:ascii="Calibri" w:hAnsi="Calibri"/>
          <w:i/>
          <w:color w:val="000000"/>
          <w:sz w:val="22"/>
        </w:rPr>
        <w:t>Guide for Evaluating CMOM Programs at Sanitary Sewer Collection Systems</w:t>
      </w:r>
      <w:r>
        <w:rPr>
          <w:rFonts w:ascii="Calibri" w:hAnsi="Calibri"/>
          <w:i w:val="0"/>
          <w:color w:val="000000"/>
          <w:sz w:val="22"/>
        </w:rPr>
        <w:t xml:space="preserve"> for manhole-barrel cracks as an infiltration source; Genedy et al. (2018).</w:t>
      </w:r>
    </w:p>
    <w:p>
      <w:pPr>
        <w:pStyle w:val="Heading3"/>
      </w:pPr>
      <w:r>
        <w:t>C2.2.B.11 Unit weight</w:t>
      </w:r>
    </w:p>
    <w:p>
      <w:pPr>
        <w:keepLines/>
      </w:pPr>
      <w:r>
        <w:rPr>
          <w:rFonts w:ascii="Calibri" w:hAnsi="Calibri"/>
          <w:b/>
          <w:i w:val="0"/>
          <w:color w:val="000000"/>
          <w:sz w:val="22"/>
        </w:rPr>
        <w:t>Why it is here.</w:t>
      </w:r>
      <w:r>
        <w:rPr>
          <w:rFonts w:ascii="Calibri" w:hAnsi="Calibri"/>
          <w:i w:val="0"/>
          <w:color w:val="000000"/>
          <w:sz w:val="22"/>
        </w:rPr>
        <w:t xml:space="preserve"> Dead load affects handling, bearing, structural demand, and beneficial flotation resistance. A single stated value makes calculations reviewable.</w:t>
      </w:r>
    </w:p>
    <w:p>
      <w:pPr>
        <w:keepLines/>
      </w:pPr>
      <w:r>
        <w:rPr>
          <w:rFonts w:ascii="Calibri" w:hAnsi="Calibri"/>
          <w:b/>
          <w:i w:val="0"/>
          <w:color w:val="000000"/>
          <w:sz w:val="22"/>
        </w:rPr>
        <w:t>Why 145 pcf.</w:t>
      </w:r>
      <w:r>
        <w:rPr>
          <w:rFonts w:ascii="Calibri" w:hAnsi="Calibri"/>
          <w:i w:val="0"/>
          <w:color w:val="000000"/>
          <w:sz w:val="22"/>
        </w:rPr>
        <w:t xml:space="preserve"> It is the basis-of-design product unit weight and provides a consistent calculation input. A proposed substitution must document its own unit weight and use the value adverse to each limit state so a lighter product is not credited with unavailable flotation resistance and a heavier product is not underrepresented in gravity demand.</w:t>
      </w:r>
    </w:p>
    <w:p>
      <w:pPr>
        <w:pStyle w:val="Heading3"/>
      </w:pPr>
      <w:r>
        <w:t>C2.2.B.12 Design mechanical properties</w:t>
      </w:r>
    </w:p>
    <w:p>
      <w:pPr>
        <w:keepLines/>
      </w:pPr>
      <w:r>
        <w:rPr>
          <w:rFonts w:ascii="Calibri" w:hAnsi="Calibri"/>
          <w:b/>
          <w:i w:val="0"/>
          <w:color w:val="000000"/>
          <w:sz w:val="22"/>
        </w:rPr>
        <w:t>Why it is here.</w:t>
      </w:r>
      <w:r>
        <w:rPr>
          <w:rFonts w:ascii="Calibri" w:hAnsi="Calibri"/>
          <w:i w:val="0"/>
          <w:color w:val="000000"/>
          <w:sz w:val="22"/>
        </w:rPr>
        <w:t xml:space="preserve"> ACI-17 distinguishes the minimum qualification strength from the mechanical properties used in structural design. Tensile or flexural strength, modulus, and other properties are determined when the chosen design method requires them.</w:t>
      </w:r>
    </w:p>
    <w:p>
      <w:pPr>
        <w:keepLines/>
      </w:pPr>
      <w:r>
        <w:rPr>
          <w:rFonts w:ascii="Calibri" w:hAnsi="Calibri"/>
          <w:b/>
          <w:i w:val="0"/>
          <w:color w:val="000000"/>
          <w:sz w:val="22"/>
        </w:rPr>
        <w:t>Why test strength is not an allowable stress.</w:t>
      </w:r>
      <w:r>
        <w:rPr>
          <w:rFonts w:ascii="Calibri" w:hAnsi="Calibri"/>
          <w:i w:val="0"/>
          <w:color w:val="000000"/>
          <w:sz w:val="22"/>
        </w:rPr>
        <w:t xml:space="preserve"> Short-term qualification results do not include strength-reduction factors, variability, sustained-load effects, creep rupture, temperature, or the selected limit state. The sealed calculations must apply the governing reductions and resistance treatment.</w:t>
      </w:r>
    </w:p>
    <w:p>
      <w:pPr>
        <w:pStyle w:val="Heading3"/>
      </w:pPr>
      <w:r>
        <w:t>C2.2.C Service conditions</w:t>
      </w:r>
    </w:p>
    <w:p>
      <w:pPr>
        <w:keepLines/>
      </w:pPr>
      <w:r>
        <w:rPr>
          <w:rFonts w:ascii="Calibri" w:hAnsi="Calibri"/>
          <w:b/>
          <w:i w:val="0"/>
          <w:color w:val="000000"/>
          <w:sz w:val="22"/>
        </w:rPr>
        <w:t>Why it is here.</w:t>
      </w:r>
      <w:r>
        <w:rPr>
          <w:rFonts w:ascii="Calibri" w:hAnsi="Calibri"/>
          <w:i w:val="0"/>
          <w:color w:val="000000"/>
          <w:sz w:val="22"/>
        </w:rPr>
        <w:t xml:space="preserve"> It states the intended exposure: sanitary sewage, H2S, microbially generated sulfuric acid, and project soil/groundwater. This prevents compliance from being reduced to room-temperature strength alone.</w:t>
      </w:r>
    </w:p>
    <w:p>
      <w:pPr>
        <w:keepLines/>
      </w:pPr>
      <w:r>
        <w:rPr>
          <w:rFonts w:ascii="Calibri" w:hAnsi="Calibri"/>
          <w:b/>
          <w:i w:val="0"/>
          <w:color w:val="000000"/>
          <w:sz w:val="22"/>
        </w:rPr>
        <w:t>Why not promise universal chemical resistance.</w:t>
      </w:r>
      <w:r>
        <w:rPr>
          <w:rFonts w:ascii="Calibri" w:hAnsi="Calibri"/>
          <w:i w:val="0"/>
          <w:color w:val="000000"/>
          <w:sz w:val="22"/>
        </w:rPr>
        <w:t xml:space="preserve"> Industrial waste can contain concentrated solvents, alkalis, oxidizers, or high temperatures outside ordinary municipal sewage. Those exposures must be disclosed and checked against current qualification.</w:t>
      </w:r>
    </w:p>
    <w:p>
      <w:pPr>
        <w:keepLines/>
      </w:pPr>
      <w:r>
        <w:rPr>
          <w:rFonts w:ascii="Calibri" w:hAnsi="Calibri"/>
          <w:b/>
          <w:i w:val="0"/>
          <w:color w:val="000000"/>
          <w:sz w:val="22"/>
        </w:rPr>
        <w:t>Further reading.</w:t>
      </w:r>
      <w:r>
        <w:rPr>
          <w:rFonts w:ascii="Calibri" w:hAnsi="Calibri"/>
          <w:i w:val="0"/>
          <w:color w:val="000000"/>
          <w:sz w:val="22"/>
        </w:rPr>
        <w:t xml:space="preserve"> ACI-17 Section 6.3; Fowler (1999); Sokołowska and Woyciechowski (2018); Sakhakarmi (2017) for sewer-manhole service context.</w:t>
      </w:r>
    </w:p>
    <w:p>
      <w:pPr>
        <w:pStyle w:val="Heading2"/>
      </w:pPr>
      <w:r>
        <w:t>C2.3 POLYMER CONCRETE MATERIALS</w:t>
      </w:r>
    </w:p>
    <w:p>
      <w:pPr>
        <w:pStyle w:val="Heading3"/>
      </w:pPr>
      <w:r>
        <w:t>C2.3.A Polymer concrete definition</w:t>
      </w:r>
    </w:p>
    <w:p>
      <w:pPr>
        <w:keepLines/>
      </w:pPr>
      <w:r>
        <w:rPr>
          <w:rFonts w:ascii="Calibri" w:hAnsi="Calibri"/>
          <w:b/>
          <w:i w:val="0"/>
          <w:color w:val="000000"/>
          <w:sz w:val="22"/>
        </w:rPr>
        <w:t>Why it is here.</w:t>
      </w:r>
      <w:r>
        <w:rPr>
          <w:rFonts w:ascii="Calibri" w:hAnsi="Calibri"/>
          <w:i w:val="0"/>
          <w:color w:val="000000"/>
          <w:sz w:val="22"/>
        </w:rPr>
        <w:t xml:space="preserve"> It distinguishes polymer concrete from polymer-modified Portland-cement concrete and from a coated conventional structure.</w:t>
      </w:r>
    </w:p>
    <w:p>
      <w:pPr>
        <w:keepLines/>
      </w:pPr>
      <w:r>
        <w:rPr>
          <w:rFonts w:ascii="Calibri" w:hAnsi="Calibri"/>
          <w:b/>
          <w:i w:val="0"/>
          <w:color w:val="000000"/>
          <w:sz w:val="22"/>
        </w:rPr>
        <w:t>Why well-graded, noncalcareous aggregate.</w:t>
      </w:r>
      <w:r>
        <w:rPr>
          <w:rFonts w:ascii="Calibri" w:hAnsi="Calibri"/>
          <w:i w:val="0"/>
          <w:color w:val="000000"/>
          <w:sz w:val="22"/>
        </w:rPr>
        <w:t xml:space="preserve"> Grading controls packing, resin demand, voids, strength, and workability; noncalcareous mineral avoids an acid-soluble durability path.</w:t>
      </w:r>
    </w:p>
    <w:p>
      <w:pPr>
        <w:keepLines/>
      </w:pPr>
      <w:r>
        <w:rPr>
          <w:rFonts w:ascii="Calibri" w:hAnsi="Calibri"/>
          <w:b/>
          <w:i w:val="0"/>
          <w:color w:val="000000"/>
          <w:sz w:val="22"/>
        </w:rPr>
        <w:t>Why Portland cement is prohibited as binder.</w:t>
      </w:r>
      <w:r>
        <w:rPr>
          <w:rFonts w:ascii="Calibri" w:hAnsi="Calibri"/>
          <w:i w:val="0"/>
          <w:color w:val="000000"/>
          <w:sz w:val="22"/>
        </w:rPr>
        <w:t xml:space="preserve"> The corrosion-resistant matrix is the thermosetting resin. Conventional concrete used externally as isolated ballast is a separate material and does not violate this line.</w:t>
      </w:r>
    </w:p>
    <w:p>
      <w:pPr>
        <w:pStyle w:val="Heading3"/>
      </w:pPr>
      <w:r>
        <w:t>C2.3.B Styrene-free vinyl ester resin and HDT</w:t>
      </w:r>
    </w:p>
    <w:p>
      <w:pPr>
        <w:keepLines/>
      </w:pPr>
      <w:r>
        <w:rPr>
          <w:rFonts w:ascii="Calibri" w:hAnsi="Calibri"/>
          <w:b/>
          <w:i w:val="0"/>
          <w:color w:val="000000"/>
          <w:sz w:val="22"/>
        </w:rPr>
        <w:t>Why vinyl ester.</w:t>
      </w:r>
      <w:r>
        <w:rPr>
          <w:rFonts w:ascii="Calibri" w:hAnsi="Calibri"/>
          <w:i w:val="0"/>
          <w:color w:val="000000"/>
          <w:sz w:val="22"/>
        </w:rPr>
        <w:t xml:space="preserve"> The binder governs water uptake, hydrolysis, chemical resistance, toughness, thermal behavior, cure, and long-term durability; compressive strength alone cannot establish equivalence. Vinyl ester combines an epoxy-derived backbone with terminal unsaturation that permits practical free-radical cure. Compared with general-purpose unsaturated polyester, the cured network has fewer ester linkages available for hydrolytic attack and generally provides greater hydrolytic stability, strain capacity, and broad-range chemical resistance. Those characteristics are directly relevant to continuously wet sewer service subject to acids, bases, oxidants, cleaning chemicals, and temperature variation.</w:t>
      </w:r>
    </w:p>
    <w:p>
      <w:pPr>
        <w:keepLines/>
      </w:pPr>
      <w:r>
        <w:rPr>
          <w:rFonts w:ascii="Calibri" w:hAnsi="Calibri"/>
          <w:b/>
          <w:i w:val="0"/>
          <w:color w:val="000000"/>
          <w:sz w:val="22"/>
        </w:rPr>
        <w:t>Why specify styrene-free.</w:t>
      </w:r>
      <w:r>
        <w:rPr>
          <w:rFonts w:ascii="Calibri" w:hAnsi="Calibri"/>
          <w:i w:val="0"/>
          <w:color w:val="000000"/>
          <w:sz w:val="22"/>
        </w:rPr>
        <w:t xml:space="preserve"> The primary purpose is manufacturing safety. Avoiding styrene as the reactive diluent reduces a recognized occupational inhalation and handling hazard during resin storage, mixing, casting, and cure. OSHA and NIOSH publish styrene health-effect and exposure-control guidance for resin and reinforced-plastics operations. Compliance is established by resin-supplier certification that the vinyl-ester system is manufactured without styrene as the reactive diluent.</w:t>
      </w:r>
    </w:p>
    <w:p>
      <w:r>
        <w:rPr>
          <w:rFonts w:ascii="Calibri" w:hAnsi="Calibri"/>
          <w:b/>
          <w:i w:val="0"/>
          <w:color w:val="000000"/>
          <w:sz w:val="22"/>
        </w:rPr>
        <w:t>Wastewater and environmental context.</w:t>
      </w:r>
      <w:r>
        <w:rPr>
          <w:rFonts w:ascii="Calibri" w:hAnsi="Calibri"/>
          <w:i w:val="0"/>
          <w:color w:val="000000"/>
          <w:sz w:val="22"/>
        </w:rPr>
        <w:t xml:space="preserve"> VTRC Report 08-R16 detected styrene downstream of field-cured styrenated CIPP installations for as long as 88 days at one site. The reported mechanisms included escaped uncured resin, incomplete cure, uncaptured condensate, and possible material permeability. CIPP is cured in place and is not equivalent to factory-cast polymer concrete, so the study is precautionary evidence of a styrene-specific release pathway rather than proof that a properly factory-cured manhole will reproduce those results. It nevertheless supports avoiding styrene where a qualified styrene-free system is commercially available.</w:t>
      </w:r>
    </w:p>
    <w:p>
      <w:pPr>
        <w:keepLines/>
      </w:pPr>
      <w:r>
        <w:rPr>
          <w:rFonts w:ascii="Calibri" w:hAnsi="Calibri"/>
          <w:b/>
          <w:i w:val="0"/>
          <w:color w:val="000000"/>
          <w:sz w:val="22"/>
        </w:rPr>
        <w:t>Why general-purpose polyester is not an automatic equal.</w:t>
      </w:r>
      <w:r>
        <w:rPr>
          <w:rFonts w:ascii="Calibri" w:hAnsi="Calibri"/>
          <w:i w:val="0"/>
          <w:color w:val="000000"/>
          <w:sz w:val="22"/>
        </w:rPr>
        <w:t xml:space="preserve"> Unsaturated polyester is a broad resin family, and performance varies substantially with backbone chemistry, reactive diluent, cure, fillers, and exposure. Its polymer backbone contains repeated ester linkages that can undergo acid- or base-catalyzed hydrolysis after water penetrates the material. Vinyl ester retains ester functionality, but the fewer, terminal ester groups reduce the number of hydrolysis-susceptible sites. A one-year ASTM-published comparison of CIPP resin systems exposed to acids, bases, and oxidants found in municipal sewers reported superior broad-range chemical resistance for the tested epoxy vinyl esters and intermediate performance for the tested polyesters. Independent published research likewise identifies polyester as more susceptible to hydrolysis and vinyl ester as the more chemically stable of the two resin families. CIPP is not polymer concrete, so these sources support the resin-chemistry comparison rather than product qualification. The requirement is therefore a defensible resin-family risk control for severe wet chemical service, not a claim that resin name alone guarantees performance.</w:t>
      </w:r>
    </w:p>
    <w:p>
      <w:pPr>
        <w:keepLines/>
      </w:pPr>
      <w:r>
        <w:rPr>
          <w:rFonts w:ascii="Calibri" w:hAnsi="Calibri"/>
          <w:b/>
          <w:i w:val="0"/>
          <w:color w:val="000000"/>
          <w:sz w:val="22"/>
        </w:rPr>
        <w:t>Why epoxy is not an automatic equal.</w:t>
      </w:r>
      <w:r>
        <w:rPr>
          <w:rFonts w:ascii="Calibri" w:hAnsi="Calibri"/>
          <w:i w:val="0"/>
          <w:color w:val="000000"/>
          <w:sz w:val="22"/>
        </w:rPr>
        <w:t xml:space="preserve"> Epoxy systems can provide excellent chemical and mechanical performance, but their results depend strongly on resin and hardener chemistry, stoichiometry, mixing, cure schedule, temperature, and aggregate wetting. They constitute a different binder and manufacturing-control system. ACI PRC-548.6 emphasizes specific chemical resistance, glass-transition temperature, viscosity, gel time, and completed cure when selecting a polymer-concrete binder. An epoxy proposal therefore requires a formal substitution review and complete qualification rather than automatic acceptance by generic resin family.</w:t>
      </w:r>
    </w:p>
    <w:p>
      <w:pPr>
        <w:keepLines/>
      </w:pPr>
      <w:r>
        <w:rPr>
          <w:rFonts w:ascii="Calibri" w:hAnsi="Calibri"/>
          <w:b/>
          <w:i w:val="0"/>
          <w:color w:val="000000"/>
          <w:sz w:val="22"/>
        </w:rPr>
        <w:t>Why finished-mixture qualification still controls.</w:t>
      </w:r>
      <w:r>
        <w:rPr>
          <w:rFonts w:ascii="Calibri" w:hAnsi="Calibri"/>
          <w:i w:val="0"/>
          <w:color w:val="000000"/>
          <w:sz w:val="22"/>
        </w:rPr>
        <w:t xml:space="preserve"> Resin-family selection narrows material risk but does not replace ACI-17 qualification of the complete polymer-concrete formulation. Aggregate mineralogy, resin content, initiator level, cure, voids, and temperature can change performance within any resin family. The specified vinyl-ester product must still satisfy the complete 112-day ASTM C267 chemical-resistance program, absorption limit, heat-deflection requirement, mechanical-property documentation, and production quality controls.</w:t>
      </w:r>
    </w:p>
    <w:p>
      <w:pPr>
        <w:keepLines/>
      </w:pPr>
      <w:r>
        <w:rPr>
          <w:rFonts w:ascii="Calibri" w:hAnsi="Calibri"/>
          <w:b/>
          <w:i w:val="0"/>
          <w:color w:val="000000"/>
          <w:sz w:val="22"/>
        </w:rPr>
        <w:t>Why the HDT minimum and elevated-temperature review.</w:t>
      </w:r>
      <w:r>
        <w:rPr>
          <w:rFonts w:ascii="Calibri" w:hAnsi="Calibri"/>
          <w:i w:val="0"/>
          <w:color w:val="000000"/>
          <w:sz w:val="22"/>
        </w:rPr>
        <w:t xml:space="preserve"> The 158°F floor follows ACI-17 and provides a clear baseline for retained resin stiffness in ordinary wastewater service. Where elevated effluent temperatures are expected, the specification requires project-specific review instead of a temperature ratio that could be misread or produce an unintended requirement. The approved margin should consider maximum sustained and transient effluent temperatures, resin-supplier data, and qualification of the complete polymer-concrete formulation.</w:t>
      </w:r>
    </w:p>
    <w:p>
      <w:pPr>
        <w:keepLines/>
      </w:pPr>
      <w:r>
        <w:rPr>
          <w:rFonts w:ascii="Calibri" w:hAnsi="Calibri"/>
          <w:b/>
          <w:i w:val="0"/>
          <w:color w:val="000000"/>
          <w:sz w:val="22"/>
        </w:rPr>
        <w:t>Further reading.</w:t>
      </w:r>
      <w:r>
        <w:rPr>
          <w:rFonts w:ascii="Calibri" w:hAnsi="Calibri"/>
          <w:i w:val="0"/>
          <w:color w:val="000000"/>
          <w:sz w:val="22"/>
        </w:rPr>
        <w:t xml:space="preserve"> ACI-17 Sections 5.1.1 and 6.3; ASTM C267; ASTM D648; ACI PRC-548.6-19; Kleweno (1994), </w:t>
      </w:r>
      <w:r>
        <w:rPr>
          <w:rFonts w:ascii="Calibri" w:hAnsi="Calibri"/>
          <w:i/>
          <w:color w:val="000000"/>
          <w:sz w:val="22"/>
        </w:rPr>
        <w:t>Physical Properties and Chemical Resistance of Selected Resins for Cured-in-Place Pipe Rehabilitation</w:t>
      </w:r>
      <w:r>
        <w:rPr>
          <w:rFonts w:ascii="Calibri" w:hAnsi="Calibri"/>
          <w:i w:val="0"/>
          <w:color w:val="000000"/>
          <w:sz w:val="22"/>
        </w:rPr>
        <w:t xml:space="preserve">, ASTM STP 1222, </w:t>
      </w:r>
      <w:r>
        <w:rPr>
          <w:rFonts w:ascii="Calibri" w:hAnsi="Calibri"/>
          <w:color w:val="2E74B5"/>
          <w:sz w:val="21"/>
        </w:rPr>
        <w:t>https://doi.org/10.1520/STP12667S</w:t>
      </w:r>
      <w:r>
        <w:rPr>
          <w:rFonts w:ascii="Calibri" w:hAnsi="Calibri"/>
          <w:color w:val="000000"/>
          <w:sz w:val="22"/>
        </w:rPr>
        <w:t>;</w:t>
      </w:r>
      <w:r>
        <w:rPr>
          <w:rFonts w:ascii="Calibri" w:hAnsi="Calibri"/>
          <w:i w:val="0"/>
          <w:color w:val="000000"/>
          <w:sz w:val="22"/>
        </w:rPr>
        <w:t xml:space="preserve"> Hodul et al. (2020), </w:t>
      </w:r>
      <w:r>
        <w:rPr>
          <w:rFonts w:ascii="Calibri" w:hAnsi="Calibri"/>
          <w:i/>
          <w:color w:val="000000"/>
          <w:sz w:val="22"/>
        </w:rPr>
        <w:t>Effect of Chemical Aggressive Media on the Flexural Properties of Cured-In-Place Pipes Supported by Microstructure Observation and Acoustic Emission</w:t>
      </w:r>
      <w:r>
        <w:rPr>
          <w:rFonts w:ascii="Calibri" w:hAnsi="Calibri"/>
          <w:i w:val="0"/>
          <w:color w:val="000000"/>
          <w:sz w:val="22"/>
        </w:rPr>
        <w:t xml:space="preserve">, </w:t>
      </w:r>
      <w:r>
        <w:rPr>
          <w:rFonts w:ascii="Calibri" w:hAnsi="Calibri"/>
          <w:color w:val="2E74B5"/>
          <w:sz w:val="21"/>
        </w:rPr>
        <w:t>https://doi.org/10.3390/ma13143051</w:t>
      </w:r>
      <w:r>
        <w:rPr>
          <w:rFonts w:ascii="Calibri" w:hAnsi="Calibri"/>
          <w:color w:val="000000"/>
          <w:sz w:val="22"/>
        </w:rPr>
        <w:t>;</w:t>
      </w:r>
      <w:r>
        <w:rPr>
          <w:rFonts w:ascii="Calibri" w:hAnsi="Calibri"/>
          <w:i w:val="0"/>
          <w:color w:val="000000"/>
          <w:sz w:val="22"/>
        </w:rPr>
        <w:t xml:space="preserve"> OSHA Styrene topic page; NIOSH Pocket Guide to Styrene; VTRC Report 08-R16; Bénéthuilière et al. (2020); Józefiak and Michalczyk (2020).</w:t>
      </w:r>
    </w:p>
    <w:p>
      <w:pPr>
        <w:pStyle w:val="Heading3"/>
      </w:pPr>
      <w:r>
        <w:t>C2.3.C Aggregate</w:t>
      </w:r>
    </w:p>
    <w:p>
      <w:pPr>
        <w:keepLines/>
      </w:pPr>
      <w:r>
        <w:rPr>
          <w:rFonts w:ascii="Calibri" w:hAnsi="Calibri"/>
          <w:b/>
          <w:i w:val="0"/>
          <w:color w:val="000000"/>
          <w:sz w:val="22"/>
        </w:rPr>
        <w:t>Why it is here.</w:t>
      </w:r>
      <w:r>
        <w:rPr>
          <w:rFonts w:ascii="Calibri" w:hAnsi="Calibri"/>
          <w:i w:val="0"/>
          <w:color w:val="000000"/>
          <w:sz w:val="22"/>
        </w:rPr>
        <w:t xml:space="preserve"> Acid-resistant resin cannot compensate for an acid-soluble aggregate network. Cleanliness, soundness, moisture, and mineralogy also affect bond and cure.</w:t>
      </w:r>
    </w:p>
    <w:p>
      <w:pPr>
        <w:keepLines/>
      </w:pPr>
      <w:r>
        <w:rPr>
          <w:rFonts w:ascii="Calibri" w:hAnsi="Calibri"/>
          <w:b/>
          <w:i w:val="0"/>
          <w:color w:val="000000"/>
          <w:sz w:val="22"/>
        </w:rPr>
        <w:t>Basis.</w:t>
      </w:r>
      <w:r>
        <w:rPr>
          <w:rFonts w:ascii="Calibri" w:hAnsi="Calibri"/>
          <w:i w:val="0"/>
          <w:color w:val="000000"/>
          <w:sz w:val="22"/>
        </w:rPr>
        <w:t xml:space="preserve"> ACI-17 Section 5.2 expressly excludes calcareous aggregate and requires whole-mixture qualification.</w:t>
      </w:r>
    </w:p>
    <w:p>
      <w:pPr>
        <w:keepLines/>
      </w:pPr>
      <w:r>
        <w:rPr>
          <w:rFonts w:ascii="Calibri" w:hAnsi="Calibri"/>
          <w:b/>
          <w:i w:val="0"/>
          <w:color w:val="000000"/>
          <w:sz w:val="22"/>
        </w:rPr>
        <w:t>Why no fixed ‘95 percent acid-insoluble’ number.</w:t>
      </w:r>
      <w:r>
        <w:rPr>
          <w:rFonts w:ascii="Calibri" w:hAnsi="Calibri"/>
          <w:i w:val="0"/>
          <w:color w:val="000000"/>
          <w:sz w:val="22"/>
        </w:rPr>
        <w:t xml:space="preserve"> That alternative source-control test can be useful, but ACI-17's noncalcareous requirement plus whole-mixture chemical performance is more directly related to finished-product durability. A manufacturer may maintain tighter aggregate-source controls in its quality system.</w:t>
      </w:r>
    </w:p>
    <w:p>
      <w:pPr>
        <w:pStyle w:val="Heading3"/>
      </w:pPr>
      <w:r>
        <w:t>C2.3.D.1 Compressive strength: 10,000 psi at 7 days</w:t>
      </w:r>
    </w:p>
    <w:p>
      <w:r>
        <w:rPr>
          <w:rFonts w:ascii="Calibri" w:hAnsi="Calibri"/>
          <w:b/>
          <w:i w:val="0"/>
          <w:color w:val="000000"/>
          <w:sz w:val="22"/>
        </w:rPr>
        <w:t>Classification.</w:t>
      </w:r>
      <w:r>
        <w:rPr>
          <w:rFonts w:ascii="Calibri" w:hAnsi="Calibri"/>
          <w:i w:val="0"/>
          <w:color w:val="000000"/>
          <w:sz w:val="22"/>
        </w:rPr>
        <w:t xml:space="preserve"> Direct consensus minimum from ACI-17 Section 7.1.</w:t>
      </w:r>
    </w:p>
    <w:p>
      <w:pPr>
        <w:keepLines/>
      </w:pPr>
      <w:r>
        <w:rPr>
          <w:rFonts w:ascii="Calibri" w:hAnsi="Calibri"/>
          <w:b/>
          <w:i w:val="0"/>
          <w:color w:val="000000"/>
          <w:sz w:val="22"/>
        </w:rPr>
        <w:t>Why it is here.</w:t>
      </w:r>
      <w:r>
        <w:rPr>
          <w:rFonts w:ascii="Calibri" w:hAnsi="Calibri"/>
          <w:i w:val="0"/>
          <w:color w:val="000000"/>
          <w:sz w:val="22"/>
        </w:rPr>
        <w:t xml:space="preserve"> The value establishes acceptable binder and mixture quality while leaving the manufacturer to establish the specified compressive strength actually used in design and production control. ACI-17 explains that the 10,000 psi minimum provides a binder of acceptable quality; it is not an allowable design stress.</w:t>
      </w:r>
    </w:p>
    <w:p>
      <w:pPr>
        <w:keepLines/>
      </w:pPr>
      <w:r>
        <w:rPr>
          <w:rFonts w:ascii="Calibri" w:hAnsi="Calibri"/>
          <w:b/>
          <w:i w:val="0"/>
          <w:color w:val="000000"/>
          <w:sz w:val="22"/>
        </w:rPr>
        <w:t>Why 7 days.</w:t>
      </w:r>
      <w:r>
        <w:rPr>
          <w:rFonts w:ascii="Calibri" w:hAnsi="Calibri"/>
          <w:i w:val="0"/>
          <w:color w:val="000000"/>
          <w:sz w:val="22"/>
        </w:rPr>
        <w:t xml:space="preserve"> ACI-17 defines the qualification strength at 7 days using at least three 4 by 8 inch cylinders tested by ASTM C579 Method C. A defined age prevents incomparable later-age results from being used for acceptance.</w:t>
      </w:r>
    </w:p>
    <w:p>
      <w:pPr>
        <w:keepLines/>
      </w:pPr>
      <w:r>
        <w:rPr>
          <w:rFonts w:ascii="Calibri" w:hAnsi="Calibri"/>
          <w:b/>
          <w:i w:val="0"/>
          <w:color w:val="000000"/>
          <w:sz w:val="22"/>
        </w:rPr>
        <w:t>Why Method C.</w:t>
      </w:r>
      <w:r>
        <w:rPr>
          <w:rFonts w:ascii="Calibri" w:hAnsi="Calibri"/>
          <w:i w:val="0"/>
          <w:color w:val="000000"/>
          <w:sz w:val="22"/>
        </w:rPr>
        <w:t xml:space="preserve"> It is appropriate for polymer concrete with larger aggregate and aligns with ACI-17's representative cylinder approach.</w:t>
      </w:r>
    </w:p>
    <w:p>
      <w:pPr>
        <w:pStyle w:val="Heading3"/>
      </w:pPr>
      <w:r>
        <w:t>C2.3.D.2 Water absorption: 0.20 percent</w:t>
      </w:r>
    </w:p>
    <w:p>
      <w:pPr>
        <w:keepLines/>
      </w:pPr>
      <w:r>
        <w:rPr>
          <w:rFonts w:ascii="Calibri" w:hAnsi="Calibri"/>
          <w:b/>
          <w:i w:val="0"/>
          <w:color w:val="000000"/>
          <w:sz w:val="22"/>
        </w:rPr>
        <w:t>Why it is here.</w:t>
      </w:r>
      <w:r>
        <w:rPr>
          <w:rFonts w:ascii="Calibri" w:hAnsi="Calibri"/>
          <w:i w:val="0"/>
          <w:color w:val="000000"/>
          <w:sz w:val="22"/>
        </w:rPr>
        <w:t xml:space="preserve"> Low absorption is a proxy for connected porosity and supports chemical durability and watertight material quality.</w:t>
      </w:r>
    </w:p>
    <w:p>
      <w:pPr>
        <w:keepLines/>
      </w:pPr>
      <w:r>
        <w:rPr>
          <w:rFonts w:ascii="Calibri" w:hAnsi="Calibri"/>
          <w:b/>
          <w:i w:val="0"/>
          <w:color w:val="000000"/>
          <w:sz w:val="22"/>
        </w:rPr>
        <w:t>Basis.</w:t>
      </w:r>
      <w:r>
        <w:rPr>
          <w:rFonts w:ascii="Calibri" w:hAnsi="Calibri"/>
          <w:i w:val="0"/>
          <w:color w:val="000000"/>
          <w:sz w:val="22"/>
        </w:rPr>
        <w:t xml:space="preserve"> ACI-17 Section 6.2 and ASTM C413 Method C.</w:t>
      </w:r>
    </w:p>
    <w:p>
      <w:pPr>
        <w:keepLines/>
      </w:pPr>
      <w:r>
        <w:rPr>
          <w:rFonts w:ascii="Calibri" w:hAnsi="Calibri"/>
          <w:b/>
          <w:i w:val="0"/>
          <w:color w:val="000000"/>
          <w:sz w:val="22"/>
        </w:rPr>
        <w:t>Why 0.20 percent.</w:t>
      </w:r>
      <w:r>
        <w:rPr>
          <w:rFonts w:ascii="Calibri" w:hAnsi="Calibri"/>
          <w:i w:val="0"/>
          <w:color w:val="000000"/>
          <w:sz w:val="22"/>
        </w:rPr>
        <w:t xml:space="preserve"> This is the direct ACI-17 maximum, not a manufacturer-selected marketing value. It is stringent enough to limit connected porosity while remaining tied to a standardized polymer-concrete test method.</w:t>
      </w:r>
    </w:p>
    <w:p>
      <w:pPr>
        <w:keepLines/>
      </w:pPr>
      <w:r>
        <w:rPr>
          <w:rFonts w:ascii="Calibri" w:hAnsi="Calibri"/>
          <w:b/>
          <w:i w:val="0"/>
          <w:color w:val="000000"/>
          <w:sz w:val="22"/>
        </w:rPr>
        <w:t>Why not claim less than 0.01 percent or zero.</w:t>
      </w:r>
      <w:r>
        <w:rPr>
          <w:rFonts w:ascii="Calibri" w:hAnsi="Calibri"/>
          <w:i w:val="0"/>
          <w:color w:val="000000"/>
          <w:sz w:val="22"/>
        </w:rPr>
        <w:t xml:space="preserve"> Such values appear in some product literature but are unnecessary to establish compliance and can be misleading without method, precision, and detection-limit context. The consensus 0.20 percent requirement is objective and reproducible.</w:t>
      </w:r>
    </w:p>
    <w:p>
      <w:pPr>
        <w:pStyle w:val="Heading3"/>
      </w:pPr>
      <w:r>
        <w:t>C2.3.D.3 Chemical resistance</w:t>
      </w:r>
    </w:p>
    <w:p>
      <w:pPr>
        <w:keepLines/>
      </w:pPr>
      <w:r>
        <w:rPr>
          <w:rFonts w:ascii="Calibri" w:hAnsi="Calibri"/>
          <w:b/>
          <w:i w:val="0"/>
          <w:color w:val="000000"/>
          <w:sz w:val="22"/>
        </w:rPr>
        <w:t>Why it is here.</w:t>
      </w:r>
      <w:r>
        <w:rPr>
          <w:rFonts w:ascii="Calibri" w:hAnsi="Calibri"/>
          <w:i w:val="0"/>
          <w:color w:val="000000"/>
          <w:sz w:val="22"/>
        </w:rPr>
        <w:t xml:space="preserve"> It requires the complete ACI-17 program: 112-day ASTM C267 immersion, retained strength, dimensional change, mass loss, and visual acceptance. Passing one sulfuric-acid jar does not establish broad sewer-service resistance.</w:t>
      </w:r>
    </w:p>
    <w:p>
      <w:pPr>
        <w:keepLines/>
      </w:pPr>
      <w:r>
        <w:rPr>
          <w:rFonts w:ascii="Calibri" w:hAnsi="Calibri"/>
          <w:b/>
          <w:i w:val="0"/>
          <w:color w:val="000000"/>
          <w:sz w:val="22"/>
        </w:rPr>
        <w:t>Why ASTM C267.</w:t>
      </w:r>
      <w:r>
        <w:rPr>
          <w:rFonts w:ascii="Calibri" w:hAnsi="Calibri"/>
          <w:i w:val="0"/>
          <w:color w:val="000000"/>
          <w:sz w:val="22"/>
        </w:rPr>
        <w:t xml:space="preserve"> C267 is the method incorporated by ACI-17 for polymer-concrete chemical resistance. ACI-17 supplies the extended duration, reagents, and acceptance package.</w:t>
      </w:r>
    </w:p>
    <w:p>
      <w:pPr>
        <w:keepLines/>
      </w:pPr>
      <w:r>
        <w:rPr>
          <w:rFonts w:ascii="Calibri" w:hAnsi="Calibri"/>
          <w:b/>
          <w:i w:val="0"/>
          <w:color w:val="000000"/>
          <w:sz w:val="22"/>
        </w:rPr>
        <w:t>Why no reagent list is repeated.</w:t>
      </w:r>
      <w:r>
        <w:rPr>
          <w:rFonts w:ascii="Calibri" w:hAnsi="Calibri"/>
          <w:i w:val="0"/>
          <w:color w:val="000000"/>
          <w:sz w:val="22"/>
        </w:rPr>
        <w:t xml:space="preserve"> Incorporation avoids transcription errors and copyright concerns and ensures that all ACI acceptance endpoints travel together.</w:t>
      </w:r>
    </w:p>
    <w:p>
      <w:pPr>
        <w:keepLines/>
      </w:pPr>
      <w:r>
        <w:rPr>
          <w:rFonts w:ascii="Calibri" w:hAnsi="Calibri"/>
          <w:b/>
          <w:i w:val="0"/>
          <w:color w:val="000000"/>
          <w:sz w:val="22"/>
        </w:rPr>
        <w:t>Why the full program matters.</w:t>
      </w:r>
      <w:r>
        <w:rPr>
          <w:rFonts w:ascii="Calibri" w:hAnsi="Calibri"/>
          <w:i w:val="0"/>
          <w:color w:val="000000"/>
          <w:sz w:val="22"/>
        </w:rPr>
        <w:t xml:space="preserve"> Polymer resistance is chemical-specific. A material that performs well in sulfuric acid may respond differently to oxidizers, salts, or alkaline solutions. The ACI-17 multi-reagent program therefore provides a substantially more defensible qualification than a sulfuric-acid-only test.</w:t>
      </w:r>
    </w:p>
    <w:p>
      <w:pPr>
        <w:pStyle w:val="Heading3"/>
      </w:pPr>
      <w:r>
        <w:t>C2.3.E Steel reinforcement materials</w:t>
      </w:r>
    </w:p>
    <w:p>
      <w:pPr>
        <w:keepLines/>
      </w:pPr>
      <w:r>
        <w:rPr>
          <w:rFonts w:ascii="Calibri" w:hAnsi="Calibri"/>
          <w:b/>
          <w:i w:val="0"/>
          <w:color w:val="000000"/>
          <w:sz w:val="22"/>
        </w:rPr>
        <w:t>Why it is here.</w:t>
      </w:r>
      <w:r>
        <w:rPr>
          <w:rFonts w:ascii="Calibri" w:hAnsi="Calibri"/>
          <w:i w:val="0"/>
          <w:color w:val="000000"/>
          <w:sz w:val="22"/>
        </w:rPr>
        <w:t xml:space="preserve"> It limits reinforcement to familiar deformed bars or welded-wire reinforcement accepted by C478 and compatible with the basis-of-design manufacturing process.</w:t>
      </w:r>
    </w:p>
    <w:p>
      <w:pPr>
        <w:keepLines/>
      </w:pPr>
      <w:r>
        <w:rPr>
          <w:rFonts w:ascii="Calibri" w:hAnsi="Calibri"/>
          <w:b/>
          <w:i w:val="0"/>
          <w:color w:val="000000"/>
          <w:sz w:val="22"/>
        </w:rPr>
        <w:t>Why no FRP option.</w:t>
      </w:r>
      <w:r>
        <w:rPr>
          <w:rFonts w:ascii="Calibri" w:hAnsi="Calibri"/>
          <w:i w:val="0"/>
          <w:color w:val="000000"/>
          <w:sz w:val="22"/>
        </w:rPr>
        <w:t xml:space="preserve"> See C2.2.B.10. The issue is not tensile strength alone. Non-yielding behavior, reinforcement modulus, crack width, deflection, bond, development, sustained-load performance, and inspection all differ from the C478 steel system. A future FRP product should therefore have its own qualified design and manufacturing provisions rather than being inserted as an interchangeable material. This is particularly important for a human-entry wastewater structure, where brittle reinforcement failure is less forgiving and wider service cracks can become I&amp;I pathways.</w:t>
      </w:r>
    </w:p>
    <w:p>
      <w:pPr>
        <w:pStyle w:val="Heading2"/>
      </w:pPr>
      <w:r>
        <w:t>C2.4 COMPONENTS</w:t>
      </w:r>
    </w:p>
    <w:p>
      <w:pPr>
        <w:pStyle w:val="Heading3"/>
      </w:pPr>
      <w:r>
        <w:t>C2.4.A Section manufacture and geometry</w:t>
      </w:r>
    </w:p>
    <w:p>
      <w:pPr>
        <w:keepLines/>
      </w:pPr>
      <w:r>
        <w:rPr>
          <w:rFonts w:ascii="Calibri" w:hAnsi="Calibri"/>
          <w:b/>
          <w:i w:val="0"/>
          <w:color w:val="000000"/>
          <w:sz w:val="22"/>
        </w:rPr>
        <w:t>Why it is here.</w:t>
      </w:r>
      <w:r>
        <w:rPr>
          <w:rFonts w:ascii="Calibri" w:hAnsi="Calibri"/>
          <w:i w:val="0"/>
          <w:color w:val="000000"/>
          <w:sz w:val="22"/>
        </w:rPr>
        <w:t xml:space="preserve"> Circular, mold-cast units provide predictable shell action, joint geometry, smooth hydraulic surfaces, and repeatable dimensions.</w:t>
      </w:r>
    </w:p>
    <w:p>
      <w:pPr>
        <w:keepLines/>
      </w:pPr>
      <w:r>
        <w:rPr>
          <w:rFonts w:ascii="Calibri" w:hAnsi="Calibri"/>
          <w:b/>
          <w:i w:val="0"/>
          <w:color w:val="000000"/>
          <w:sz w:val="22"/>
        </w:rPr>
        <w:t>Why ‘machine- or mold-cast.’</w:t>
      </w:r>
      <w:r>
        <w:rPr>
          <w:rFonts w:ascii="Calibri" w:hAnsi="Calibri"/>
          <w:i w:val="0"/>
          <w:color w:val="000000"/>
          <w:sz w:val="22"/>
        </w:rPr>
        <w:t xml:space="preserve"> It accommodates P3's controlled manufacturing processes without prescribing proprietary equipment. ‘Smooth, dense’ is a performance/workmanship description, not a demand for cosmetic perfection.</w:t>
      </w:r>
    </w:p>
    <w:p>
      <w:pPr>
        <w:pStyle w:val="Heading3"/>
      </w:pPr>
      <w:r>
        <w:t>C2.4.B Standard manufacturing geometry</w:t>
      </w:r>
    </w:p>
    <w:p>
      <w:r>
        <w:rPr>
          <w:rFonts w:ascii="Calibri" w:hAnsi="Calibri"/>
          <w:b/>
          <w:i w:val="0"/>
          <w:color w:val="000000"/>
          <w:sz w:val="22"/>
        </w:rPr>
        <w:t>Classification.</w:t>
      </w:r>
      <w:r>
        <w:rPr>
          <w:rFonts w:ascii="Calibri" w:hAnsi="Calibri"/>
          <w:i w:val="0"/>
          <w:color w:val="000000"/>
          <w:sz w:val="22"/>
        </w:rPr>
        <w:t xml:space="preserve"> Basis-of-design manufacturing and constructability requirement, not an ACI structural-thickness minimum.</w:t>
      </w:r>
    </w:p>
    <w:p>
      <w:pPr>
        <w:keepLines/>
      </w:pPr>
      <w:r>
        <w:rPr>
          <w:rFonts w:ascii="Calibri" w:hAnsi="Calibri"/>
          <w:b/>
          <w:i w:val="0"/>
          <w:color w:val="000000"/>
          <w:sz w:val="22"/>
        </w:rPr>
        <w:t>Why it is here.</w:t>
      </w:r>
      <w:r>
        <w:rPr>
          <w:rFonts w:ascii="Calibri" w:hAnsi="Calibri"/>
          <w:i w:val="0"/>
          <w:color w:val="000000"/>
          <w:sz w:val="22"/>
        </w:rPr>
        <w:t xml:space="preserve"> Polymer concrete can have enough calculated strength for a thinner idealized section, but structural capacity alone does not establish reliable manufacturability. Section thickness affects mixture flow, aggregate distribution, air release, reinforcement placement and cover, formation of joints and penetrations, demolding, handling resistance, dimensional stability, and production consistency. Table 1 establishes the minimum nominal geometry of the specified product platform.</w:t>
      </w:r>
    </w:p>
    <w:p>
      <w:pPr>
        <w:keepLines/>
      </w:pPr>
      <w:r>
        <w:rPr>
          <w:rFonts w:ascii="Calibri" w:hAnsi="Calibri"/>
          <w:b/>
          <w:i w:val="0"/>
          <w:color w:val="000000"/>
          <w:sz w:val="22"/>
        </w:rPr>
        <w:t>Why calculations cannot reduce the minima.</w:t>
      </w:r>
      <w:r>
        <w:rPr>
          <w:rFonts w:ascii="Calibri" w:hAnsi="Calibri"/>
          <w:i w:val="0"/>
          <w:color w:val="000000"/>
          <w:sz w:val="22"/>
        </w:rPr>
        <w:t xml:space="preserve"> Sealed calculations address project structural adequacy and may require greater dimensions or reinforcement. They do not replace the manufacturing and constructability functions served by the standard nominal geometry.</w:t>
      </w:r>
    </w:p>
    <w:p>
      <w:pPr>
        <w:keepLines/>
      </w:pPr>
      <w:r>
        <w:rPr>
          <w:rFonts w:ascii="Calibri" w:hAnsi="Calibri"/>
          <w:b/>
          <w:i w:val="0"/>
          <w:color w:val="000000"/>
          <w:sz w:val="22"/>
        </w:rPr>
        <w:t>Why maximum riser heights are fixed.</w:t>
      </w:r>
      <w:r>
        <w:rPr>
          <w:rFonts w:ascii="Calibri" w:hAnsi="Calibri"/>
          <w:i w:val="0"/>
          <w:color w:val="000000"/>
          <w:sz w:val="22"/>
        </w:rPr>
        <w:t xml:space="preserve"> Single-section height affects mold filling, dimensional control, demolding, lifting, transport, and erection. A shorter section can be selected where design or handling requires; the listed maximum cannot be exceeded.</w:t>
      </w:r>
    </w:p>
    <w:p>
      <w:pPr>
        <w:keepLines/>
      </w:pPr>
      <w:r>
        <w:rPr>
          <w:rFonts w:ascii="Calibri" w:hAnsi="Calibri"/>
          <w:b/>
          <w:i w:val="0"/>
          <w:color w:val="000000"/>
          <w:sz w:val="22"/>
        </w:rPr>
        <w:t>Basis for the whole table.</w:t>
      </w:r>
      <w:r>
        <w:rPr>
          <w:rFonts w:ascii="Calibri" w:hAnsi="Calibri"/>
          <w:i w:val="0"/>
          <w:color w:val="000000"/>
          <w:sz w:val="22"/>
        </w:rPr>
        <w:t xml:space="preserve"> The values are minimum nominal casting dimensions selected from production and constructability experience. They are not numeric minima copied from ACI-17 and should not be represented as the thinnest sections capable of satisfying structural calculations. Sealed calculations remain required for every project and may increase—but not reduce—the listed dimensions.</w:t>
      </w:r>
    </w:p>
    <w:p>
      <w:pPr>
        <w:pStyle w:val="Heading3"/>
      </w:pPr>
      <w:r>
        <w:t>C2.4.C Monolithic base and lower wall</w:t>
      </w:r>
    </w:p>
    <w:p>
      <w:pPr>
        <w:keepLines/>
      </w:pPr>
      <w:r>
        <w:rPr>
          <w:rFonts w:ascii="Calibri" w:hAnsi="Calibri"/>
          <w:b/>
          <w:i w:val="0"/>
          <w:color w:val="000000"/>
          <w:sz w:val="22"/>
        </w:rPr>
        <w:t>Why it is here.</w:t>
      </w:r>
      <w:r>
        <w:rPr>
          <w:rFonts w:ascii="Calibri" w:hAnsi="Calibri"/>
          <w:i w:val="0"/>
          <w:color w:val="000000"/>
          <w:sz w:val="22"/>
        </w:rPr>
        <w:t xml:space="preserve"> A monolithic factory casting eliminates a vulnerable horizontal cold joint at the base, improves alignment, and provides a controlled substrate for openings, channels, and benching.</w:t>
      </w:r>
    </w:p>
    <w:p>
      <w:pPr>
        <w:keepLines/>
      </w:pPr>
      <w:r>
        <w:rPr>
          <w:rFonts w:ascii="Calibri" w:hAnsi="Calibri"/>
          <w:b/>
          <w:i w:val="0"/>
          <w:color w:val="000000"/>
          <w:sz w:val="22"/>
        </w:rPr>
        <w:t>Basis.</w:t>
      </w:r>
      <w:r>
        <w:rPr>
          <w:rFonts w:ascii="Calibri" w:hAnsi="Calibri"/>
          <w:i w:val="0"/>
          <w:color w:val="000000"/>
          <w:sz w:val="22"/>
        </w:rPr>
        <w:t xml:space="preserve"> ACI-17 Section 5.5 and the established precast principle that monolithic factory casting eliminates an otherwise vulnerable cold joint.</w:t>
      </w:r>
    </w:p>
    <w:p>
      <w:pPr>
        <w:pStyle w:val="Heading3"/>
      </w:pPr>
      <w:r>
        <w:t>C2.4.C.1 Channels</w:t>
      </w:r>
    </w:p>
    <w:p>
      <w:pPr>
        <w:keepLines/>
      </w:pPr>
      <w:r>
        <w:rPr>
          <w:rFonts w:ascii="Calibri" w:hAnsi="Calibri"/>
          <w:b/>
          <w:i w:val="0"/>
          <w:color w:val="000000"/>
          <w:sz w:val="22"/>
        </w:rPr>
        <w:t>Why it is here.</w:t>
      </w:r>
      <w:r>
        <w:rPr>
          <w:rFonts w:ascii="Calibri" w:hAnsi="Calibri"/>
          <w:i w:val="0"/>
          <w:color w:val="000000"/>
          <w:sz w:val="22"/>
        </w:rPr>
        <w:t xml:space="preserve"> Pipe-shape channels and smooth transitions reduce turbulence, solids deposition, hydraulic loss, and maintenance problems at changes in size, grade, or direction.</w:t>
      </w:r>
    </w:p>
    <w:p>
      <w:pPr>
        <w:keepLines/>
      </w:pPr>
      <w:r>
        <w:rPr>
          <w:rFonts w:ascii="Calibri" w:hAnsi="Calibri"/>
          <w:b/>
          <w:i w:val="0"/>
          <w:color w:val="000000"/>
          <w:sz w:val="22"/>
        </w:rPr>
        <w:t>Why factory formed.</w:t>
      </w:r>
      <w:r>
        <w:rPr>
          <w:rFonts w:ascii="Calibri" w:hAnsi="Calibri"/>
          <w:i w:val="0"/>
          <w:color w:val="000000"/>
          <w:sz w:val="22"/>
        </w:rPr>
        <w:t xml:space="preserve"> Factory geometry and the same chemical-resistant material avoid inconsistent field mortar and unqualified cold joints.</w:t>
      </w:r>
    </w:p>
    <w:p>
      <w:pPr>
        <w:pStyle w:val="Heading3"/>
      </w:pPr>
      <w:r>
        <w:t>C2.4.C.2 Bench slope: 2 percent minimum</w:t>
      </w:r>
    </w:p>
    <w:p>
      <w:pPr>
        <w:keepLines/>
      </w:pPr>
      <w:r>
        <w:rPr>
          <w:rFonts w:ascii="Calibri" w:hAnsi="Calibri"/>
          <w:b/>
          <w:i w:val="0"/>
          <w:color w:val="000000"/>
          <w:sz w:val="22"/>
        </w:rPr>
        <w:t>Why it is here.</w:t>
      </w:r>
      <w:r>
        <w:rPr>
          <w:rFonts w:ascii="Calibri" w:hAnsi="Calibri"/>
          <w:i w:val="0"/>
          <w:color w:val="000000"/>
          <w:sz w:val="22"/>
        </w:rPr>
        <w:t xml:space="preserve"> Positive slope drains the bench to the channel and discourages stagnant deposits.</w:t>
      </w:r>
    </w:p>
    <w:p>
      <w:pPr>
        <w:keepLines/>
      </w:pPr>
      <w:r>
        <w:rPr>
          <w:rFonts w:ascii="Calibri" w:hAnsi="Calibri"/>
          <w:b/>
          <w:i w:val="0"/>
          <w:color w:val="000000"/>
          <w:sz w:val="22"/>
        </w:rPr>
        <w:t>Basis.</w:t>
      </w:r>
      <w:r>
        <w:rPr>
          <w:rFonts w:ascii="Calibri" w:hAnsi="Calibri"/>
          <w:i w:val="0"/>
          <w:color w:val="000000"/>
          <w:sz w:val="22"/>
        </w:rPr>
        <w:t xml:space="preserve"> ACI-17 bench-slope concept and common sanitary-sewer practice.</w:t>
      </w:r>
    </w:p>
    <w:p>
      <w:pPr>
        <w:keepLines/>
      </w:pPr>
      <w:r>
        <w:rPr>
          <w:rFonts w:ascii="Calibri" w:hAnsi="Calibri"/>
          <w:b/>
          <w:i w:val="0"/>
          <w:color w:val="000000"/>
          <w:sz w:val="22"/>
        </w:rPr>
        <w:t>Why not steeper by universal rule.</w:t>
      </w:r>
      <w:r>
        <w:rPr>
          <w:rFonts w:ascii="Calibri" w:hAnsi="Calibri"/>
          <w:i w:val="0"/>
          <w:color w:val="000000"/>
          <w:sz w:val="22"/>
        </w:rPr>
        <w:t xml:space="preserve"> Owners differ, and steep benches can affect access. Two percent is a minimum; drawings may require more.</w:t>
      </w:r>
    </w:p>
    <w:p>
      <w:pPr>
        <w:pStyle w:val="Heading3"/>
      </w:pPr>
      <w:r>
        <w:t>C2.4.C.3 Bench height: 0.5 pipe diameter</w:t>
      </w:r>
    </w:p>
    <w:p>
      <w:pPr>
        <w:keepLines/>
      </w:pPr>
      <w:r>
        <w:rPr>
          <w:rFonts w:ascii="Calibri" w:hAnsi="Calibri"/>
          <w:b/>
          <w:i w:val="0"/>
          <w:color w:val="000000"/>
          <w:sz w:val="22"/>
        </w:rPr>
        <w:t>Why it is here.</w:t>
      </w:r>
      <w:r>
        <w:rPr>
          <w:rFonts w:ascii="Calibri" w:hAnsi="Calibri"/>
          <w:i w:val="0"/>
          <w:color w:val="000000"/>
          <w:sz w:val="22"/>
        </w:rPr>
        <w:t xml:space="preserve"> It provides a practical sanitary-sewer bench profile while preserving channel capacity and access.</w:t>
      </w:r>
    </w:p>
    <w:p>
      <w:pPr>
        <w:keepLines/>
      </w:pPr>
      <w:r>
        <w:rPr>
          <w:rFonts w:ascii="Calibri" w:hAnsi="Calibri"/>
          <w:b/>
          <w:i w:val="0"/>
          <w:color w:val="000000"/>
          <w:sz w:val="22"/>
        </w:rPr>
        <w:t>Important distinction.</w:t>
      </w:r>
      <w:r>
        <w:rPr>
          <w:rFonts w:ascii="Calibri" w:hAnsi="Calibri"/>
          <w:i w:val="0"/>
          <w:color w:val="000000"/>
          <w:sz w:val="22"/>
        </w:rPr>
        <w:t xml:space="preserve"> Bench height is measured from channel invert to top of bench and is a fraction of the largest connected pipe diameter. It is not the base-slab thickness, which is an absolute Table 1 minimum beneath the flow geometry.</w:t>
      </w:r>
    </w:p>
    <w:p>
      <w:pPr>
        <w:keepLines/>
      </w:pPr>
      <w:r>
        <w:rPr>
          <w:rFonts w:ascii="Calibri" w:hAnsi="Calibri"/>
          <w:b/>
          <w:i w:val="0"/>
          <w:color w:val="000000"/>
          <w:sz w:val="22"/>
        </w:rPr>
        <w:t>Basis and intentional ACI modification.</w:t>
      </w:r>
      <w:r>
        <w:rPr>
          <w:rFonts w:ascii="Calibri" w:hAnsi="Calibri"/>
          <w:i w:val="0"/>
          <w:color w:val="000000"/>
          <w:sz w:val="22"/>
        </w:rPr>
        <w:t xml:space="preserve"> ASTM C478 15.3.2.2 establishes a minimum conventional-manhole channel-invert depth of one-half the pipe inside diameter. ACI-17 Section 5.6 uses 75 percent of the largest pipe diameter. The project adopts the C478 half-pipe convention because it reflects common sanitary-sewer geometry while retaining modification where the Drawings or hydraulic design require. C478 separately addresses structural material beneath the invert, confirming that the channel/bench dimension is not the base-slab thickness.</w:t>
      </w:r>
    </w:p>
    <w:p>
      <w:pPr>
        <w:pStyle w:val="Heading3"/>
      </w:pPr>
      <w:r>
        <w:t>C2.4.D Section joints</w:t>
      </w:r>
    </w:p>
    <w:p>
      <w:pPr>
        <w:keepLines/>
      </w:pPr>
      <w:r>
        <w:rPr>
          <w:rFonts w:ascii="Calibri" w:hAnsi="Calibri"/>
          <w:b/>
          <w:i w:val="0"/>
          <w:color w:val="000000"/>
          <w:sz w:val="22"/>
        </w:rPr>
        <w:t>Why it is here.</w:t>
      </w:r>
      <w:r>
        <w:rPr>
          <w:rFonts w:ascii="Calibri" w:hAnsi="Calibri"/>
          <w:i w:val="0"/>
          <w:color w:val="000000"/>
          <w:sz w:val="22"/>
        </w:rPr>
        <w:t xml:space="preserve"> The joint must center sections, transmit design effects without displacement, and remain watertight.</w:t>
      </w:r>
    </w:p>
    <w:p>
      <w:pPr>
        <w:keepLines/>
      </w:pPr>
      <w:r>
        <w:rPr>
          <w:rFonts w:ascii="Calibri" w:hAnsi="Calibri"/>
          <w:b/>
          <w:i w:val="0"/>
          <w:color w:val="000000"/>
          <w:sz w:val="22"/>
        </w:rPr>
        <w:t>Why C443 ‘or’ C990.</w:t>
      </w:r>
      <w:r>
        <w:rPr>
          <w:rFonts w:ascii="Calibri" w:hAnsi="Calibri"/>
          <w:i w:val="0"/>
          <w:color w:val="000000"/>
          <w:sz w:val="22"/>
        </w:rPr>
        <w:t xml:space="preserve"> Both are recognized joint-system routes, but they rely on different sealing mechanisms. C443 uses a rubber gasket maintained within a controlled annular sealing geometry. C990 uses a preformed flexible sealant compressed between mating surfaces. The submitted joint must match one complete system, satisfy the specified watertightness performance, and follow the applicable material, geometry, tolerance, and installation requirements.</w:t>
      </w:r>
    </w:p>
    <w:p>
      <w:pPr>
        <w:keepLines/>
      </w:pPr>
      <w:r>
        <w:rPr>
          <w:rFonts w:ascii="Calibri" w:hAnsi="Calibri"/>
          <w:b/>
          <w:i w:val="0"/>
          <w:color w:val="000000"/>
          <w:sz w:val="22"/>
        </w:rPr>
        <w:t>Why not require both.</w:t>
      </w:r>
      <w:r>
        <w:rPr>
          <w:rFonts w:ascii="Calibri" w:hAnsi="Calibri"/>
          <w:i w:val="0"/>
          <w:color w:val="000000"/>
          <w:sz w:val="22"/>
        </w:rPr>
        <w:t xml:space="preserve"> Redundant seals can be useful only as a qualified system. Uncontrolled layering can conceal poor seating and complicate inspection.</w:t>
      </w:r>
    </w:p>
    <w:p>
      <w:r>
        <w:rPr>
          <w:rFonts w:ascii="Calibri" w:hAnsi="Calibri"/>
          <w:b/>
          <w:i w:val="0"/>
          <w:color w:val="000000"/>
          <w:sz w:val="22"/>
        </w:rPr>
        <w:t>Vertical-joint context.</w:t>
      </w:r>
      <w:r>
        <w:rPr>
          <w:rFonts w:ascii="Calibri" w:hAnsi="Calibri"/>
          <w:i w:val="0"/>
          <w:color w:val="000000"/>
          <w:sz w:val="22"/>
        </w:rPr>
        <w:t xml:space="preserve"> NPCA guidance explains that the weight of vertically stacked manhole sections helps home the joint and maintain compression, which can benefit C990 rope-sealant systems. The same guidance notes that C443 elastomeric gaskets require controlled annular space and uniform gasket deformation. Neither route excuses damaged faces, poor centering, incorrect seal size, contamination, or incomplete seating.</w:t>
      </w:r>
    </w:p>
    <w:p>
      <w:pPr>
        <w:keepLines/>
      </w:pPr>
      <w:r>
        <w:rPr>
          <w:rFonts w:ascii="Calibri" w:hAnsi="Calibri"/>
          <w:b/>
          <w:i w:val="0"/>
          <w:color w:val="000000"/>
          <w:sz w:val="22"/>
        </w:rPr>
        <w:t>Further reading.</w:t>
      </w:r>
      <w:r>
        <w:rPr>
          <w:rFonts w:ascii="Calibri" w:hAnsi="Calibri"/>
          <w:i w:val="0"/>
          <w:color w:val="000000"/>
          <w:sz w:val="22"/>
        </w:rPr>
        <w:t xml:space="preserve"> ASTM C443/C443M; ASTM C990/C990M; NPCA, </w:t>
      </w:r>
      <w:r>
        <w:rPr>
          <w:rFonts w:ascii="Calibri" w:hAnsi="Calibri"/>
          <w:i/>
          <w:color w:val="000000"/>
          <w:sz w:val="22"/>
        </w:rPr>
        <w:t>Underground Structure Joints</w:t>
      </w:r>
      <w:r>
        <w:rPr>
          <w:rFonts w:ascii="Calibri" w:hAnsi="Calibri"/>
          <w:i w:val="0"/>
          <w:color w:val="000000"/>
          <w:sz w:val="22"/>
        </w:rPr>
        <w:t xml:space="preserve"> (2023); and NPCA, </w:t>
      </w:r>
      <w:r>
        <w:rPr>
          <w:rFonts w:ascii="Calibri" w:hAnsi="Calibri"/>
          <w:i/>
          <w:color w:val="000000"/>
          <w:sz w:val="22"/>
        </w:rPr>
        <w:t>Watertight Manhole Joints</w:t>
      </w:r>
      <w:r>
        <w:rPr>
          <w:rFonts w:ascii="Calibri" w:hAnsi="Calibri"/>
          <w:i w:val="0"/>
          <w:color w:val="000000"/>
          <w:sz w:val="22"/>
        </w:rPr>
        <w:t xml:space="preserve"> (2013).</w:t>
      </w:r>
    </w:p>
    <w:p>
      <w:pPr>
        <w:pStyle w:val="Heading3"/>
      </w:pPr>
      <w:r>
        <w:t>C2.4.E Pipe connections</w:t>
      </w:r>
    </w:p>
    <w:p>
      <w:pPr>
        <w:keepLines/>
      </w:pPr>
      <w:r>
        <w:rPr>
          <w:rFonts w:ascii="Calibri" w:hAnsi="Calibri"/>
          <w:b/>
          <w:i w:val="0"/>
          <w:color w:val="000000"/>
          <w:sz w:val="22"/>
        </w:rPr>
        <w:t>Why it is here.</w:t>
      </w:r>
      <w:r>
        <w:rPr>
          <w:rFonts w:ascii="Calibri" w:hAnsi="Calibri"/>
          <w:i w:val="0"/>
          <w:color w:val="000000"/>
          <w:sz w:val="22"/>
        </w:rPr>
        <w:t xml:space="preserve"> Pipes settle and deflect differently from the rigid manhole. A flexible connector protects the pipe, connector, and wall while limiting infiltration/exfiltration.</w:t>
      </w:r>
    </w:p>
    <w:p>
      <w:pPr>
        <w:keepLines/>
      </w:pPr>
      <w:r>
        <w:rPr>
          <w:rFonts w:ascii="Calibri" w:hAnsi="Calibri"/>
          <w:b/>
          <w:i w:val="0"/>
          <w:color w:val="000000"/>
          <w:sz w:val="22"/>
        </w:rPr>
        <w:t>Why C923 or qualified polymer mortar.</w:t>
      </w:r>
      <w:r>
        <w:rPr>
          <w:rFonts w:ascii="Calibri" w:hAnsi="Calibri"/>
          <w:i w:val="0"/>
          <w:color w:val="000000"/>
          <w:sz w:val="22"/>
        </w:rPr>
        <w:t xml:space="preserve"> C923 is the default performance route. ACI-17 recognizes properly qualified polymer-mortar connections, which may suit particular pipe and geometry when the Engineer accepts the evidence.</w:t>
      </w:r>
    </w:p>
    <w:p>
      <w:pPr>
        <w:keepLines/>
      </w:pPr>
      <w:r>
        <w:rPr>
          <w:rFonts w:ascii="Calibri" w:hAnsi="Calibri"/>
          <w:b/>
          <w:i w:val="0"/>
          <w:color w:val="000000"/>
          <w:sz w:val="22"/>
        </w:rPr>
        <w:t>Why not Portland-cement grout.</w:t>
      </w:r>
      <w:r>
        <w:rPr>
          <w:rFonts w:ascii="Calibri" w:hAnsi="Calibri"/>
          <w:i w:val="0"/>
          <w:color w:val="000000"/>
          <w:sz w:val="22"/>
        </w:rPr>
        <w:t xml:space="preserve"> It creates a brittle, chemically vulnerable interface and does not provide the same movement accommodation.</w:t>
      </w:r>
    </w:p>
    <w:p>
      <w:pPr>
        <w:pStyle w:val="Heading3"/>
      </w:pPr>
      <w:r>
        <w:t>C2.4.F Repair materials</w:t>
      </w:r>
    </w:p>
    <w:p>
      <w:pPr>
        <w:keepLines/>
      </w:pPr>
      <w:r>
        <w:rPr>
          <w:rFonts w:ascii="Calibri" w:hAnsi="Calibri"/>
          <w:b/>
          <w:i w:val="0"/>
          <w:color w:val="000000"/>
          <w:sz w:val="22"/>
        </w:rPr>
        <w:t>Why it is here.</w:t>
      </w:r>
      <w:r>
        <w:rPr>
          <w:rFonts w:ascii="Calibri" w:hAnsi="Calibri"/>
          <w:i w:val="0"/>
          <w:color w:val="000000"/>
          <w:sz w:val="22"/>
        </w:rPr>
        <w:t xml:space="preserve"> A repair must bond to the cured substrate, cure at field/factory temperature, resist the same exposure, and restore the relevant geometry and performance.</w:t>
      </w:r>
    </w:p>
    <w:p>
      <w:pPr>
        <w:keepLines/>
      </w:pPr>
      <w:r>
        <w:rPr>
          <w:rFonts w:ascii="Calibri" w:hAnsi="Calibri"/>
          <w:b/>
          <w:i w:val="0"/>
          <w:color w:val="000000"/>
          <w:sz w:val="22"/>
        </w:rPr>
        <w:t>Why factory packaged.</w:t>
      </w:r>
      <w:r>
        <w:rPr>
          <w:rFonts w:ascii="Calibri" w:hAnsi="Calibri"/>
          <w:i w:val="0"/>
          <w:color w:val="000000"/>
          <w:sz w:val="22"/>
        </w:rPr>
        <w:t xml:space="preserve"> It controls proportioning and chemistry. Unapproved resin, cement mortar, or improvised filler can be incompatible.</w:t>
      </w:r>
    </w:p>
    <w:p>
      <w:pPr>
        <w:pStyle w:val="Heading3"/>
      </w:pPr>
      <w:r>
        <w:t>C2.4.G Marking</w:t>
      </w:r>
    </w:p>
    <w:p>
      <w:pPr>
        <w:keepLines/>
      </w:pPr>
      <w:r>
        <w:rPr>
          <w:rFonts w:ascii="Calibri" w:hAnsi="Calibri"/>
          <w:b/>
          <w:i w:val="0"/>
          <w:color w:val="000000"/>
          <w:sz w:val="22"/>
        </w:rPr>
        <w:t>Why it is here.</w:t>
      </w:r>
      <w:r>
        <w:rPr>
          <w:rFonts w:ascii="Calibri" w:hAnsi="Calibri"/>
          <w:i w:val="0"/>
          <w:color w:val="000000"/>
          <w:sz w:val="22"/>
        </w:rPr>
        <w:t xml:space="preserve"> Manufacturer, plant, date, component ID, and match/orientation marks connect the installed unit to shop drawings, production batches, QC, repairs, and assembly.</w:t>
      </w:r>
    </w:p>
    <w:p>
      <w:pPr>
        <w:keepLines/>
      </w:pPr>
      <w:r>
        <w:rPr>
          <w:rFonts w:ascii="Calibri" w:hAnsi="Calibri"/>
          <w:b/>
          <w:i w:val="0"/>
          <w:color w:val="000000"/>
          <w:sz w:val="22"/>
        </w:rPr>
        <w:t>Basis.</w:t>
      </w:r>
      <w:r>
        <w:rPr>
          <w:rFonts w:ascii="Calibri" w:hAnsi="Calibri"/>
          <w:i w:val="0"/>
          <w:color w:val="000000"/>
          <w:sz w:val="22"/>
        </w:rPr>
        <w:t xml:space="preserve"> ACI-17 Section 17, expanded for practical traceability.</w:t>
      </w:r>
    </w:p>
    <w:p>
      <w:pPr>
        <w:pStyle w:val="Heading2"/>
      </w:pPr>
      <w:r>
        <w:t>C2.5 FABRICATION</w:t>
      </w:r>
    </w:p>
    <w:p>
      <w:pPr>
        <w:pStyle w:val="Heading3"/>
      </w:pPr>
      <w:r>
        <w:t>C2.5.A Dimensions and tolerances</w:t>
      </w:r>
    </w:p>
    <w:p>
      <w:pPr>
        <w:keepLines/>
      </w:pPr>
      <w:r>
        <w:rPr>
          <w:rFonts w:ascii="Calibri" w:hAnsi="Calibri"/>
          <w:b/>
          <w:i w:val="0"/>
          <w:color w:val="000000"/>
          <w:sz w:val="22"/>
        </w:rPr>
        <w:t>Why it is here.</w:t>
      </w:r>
      <w:r>
        <w:rPr>
          <w:rFonts w:ascii="Calibri" w:hAnsi="Calibri"/>
          <w:i w:val="0"/>
          <w:color w:val="000000"/>
          <w:sz w:val="22"/>
        </w:rPr>
        <w:t xml:space="preserve"> Approved shop drawings translate the project design into manufacturable geometry; ACI-17 supplies the direct polymer-concrete tolerance basis.</w:t>
      </w:r>
    </w:p>
    <w:p>
      <w:pPr>
        <w:keepLines/>
      </w:pPr>
      <w:r>
        <w:rPr>
          <w:rFonts w:ascii="Calibri" w:hAnsi="Calibri"/>
          <w:b/>
          <w:i w:val="0"/>
          <w:color w:val="000000"/>
          <w:sz w:val="22"/>
        </w:rPr>
        <w:t>Why not broadly incorporate C478 tolerances.</w:t>
      </w:r>
      <w:r>
        <w:rPr>
          <w:rFonts w:ascii="Calibri" w:hAnsi="Calibri"/>
          <w:i w:val="0"/>
          <w:color w:val="000000"/>
          <w:sz w:val="22"/>
        </w:rPr>
        <w:t xml:space="preserve"> ACI-17 is the newer and direct product standard. C478 remains relevant only where specifically invoked.</w:t>
      </w:r>
    </w:p>
    <w:p>
      <w:pPr>
        <w:pStyle w:val="Heading3"/>
      </w:pPr>
      <w:r>
        <w:t>C2.5.B Thickness and reinforcement location</w:t>
      </w:r>
    </w:p>
    <w:p>
      <w:pPr>
        <w:keepLines/>
      </w:pPr>
      <w:r>
        <w:rPr>
          <w:rFonts w:ascii="Calibri" w:hAnsi="Calibri"/>
          <w:b/>
          <w:i w:val="0"/>
          <w:color w:val="000000"/>
          <w:sz w:val="22"/>
        </w:rPr>
        <w:t>Why it is here.</w:t>
      </w:r>
      <w:r>
        <w:rPr>
          <w:rFonts w:ascii="Calibri" w:hAnsi="Calibri"/>
          <w:i w:val="0"/>
          <w:color w:val="000000"/>
          <w:sz w:val="22"/>
        </w:rPr>
        <w:t xml:space="preserve"> The 95 percent as-built thickness floor and ±10 percent-of-wall-thickness reinforcement-position tolerance are measurable acceptance rules taken from ACI-17.</w:t>
      </w:r>
    </w:p>
    <w:p>
      <w:pPr>
        <w:keepLines/>
      </w:pPr>
      <w:r>
        <w:rPr>
          <w:rFonts w:ascii="Calibri" w:hAnsi="Calibri"/>
          <w:b/>
          <w:i w:val="0"/>
          <w:color w:val="000000"/>
          <w:sz w:val="22"/>
        </w:rPr>
        <w:t>Interaction with Table 1.</w:t>
      </w:r>
      <w:r>
        <w:rPr>
          <w:rFonts w:ascii="Calibri" w:hAnsi="Calibri"/>
          <w:i w:val="0"/>
          <w:color w:val="000000"/>
          <w:sz w:val="22"/>
        </w:rPr>
        <w:t xml:space="preserve"> Table 1 governs the minimum nominal mold and shop-drawing geometry. The 95 percent fabrication tolerance is an as-built tolerance around that approved nominal dimension and cannot be used to nominate a thinner product.</w:t>
      </w:r>
    </w:p>
    <w:p>
      <w:pPr>
        <w:pStyle w:val="Heading3"/>
      </w:pPr>
      <w:r>
        <w:t>C2.5.C Workmanship</w:t>
      </w:r>
    </w:p>
    <w:p>
      <w:pPr>
        <w:keepLines/>
      </w:pPr>
      <w:r>
        <w:rPr>
          <w:rFonts w:ascii="Calibri" w:hAnsi="Calibri"/>
          <w:b/>
          <w:i w:val="0"/>
          <w:color w:val="000000"/>
          <w:sz w:val="22"/>
        </w:rPr>
        <w:t>Why it is here.</w:t>
      </w:r>
      <w:r>
        <w:rPr>
          <w:rFonts w:ascii="Calibri" w:hAnsi="Calibri"/>
          <w:i w:val="0"/>
          <w:color w:val="000000"/>
          <w:sz w:val="22"/>
        </w:rPr>
        <w:t xml:space="preserve"> Square ends and clean joint surfaces are required for uniform seating and sealing. Cracks, delamination, exposed reinforcement, uncured material, and performance-impairing defects are substantive failure modes.</w:t>
      </w:r>
    </w:p>
    <w:p>
      <w:pPr>
        <w:keepLines/>
      </w:pPr>
      <w:r>
        <w:rPr>
          <w:rFonts w:ascii="Calibri" w:hAnsi="Calibri"/>
          <w:b/>
          <w:i w:val="0"/>
          <w:color w:val="000000"/>
          <w:sz w:val="22"/>
        </w:rPr>
        <w:t>Why not reject every visible variation.</w:t>
      </w:r>
      <w:r>
        <w:rPr>
          <w:rFonts w:ascii="Calibri" w:hAnsi="Calibri"/>
          <w:i w:val="0"/>
          <w:color w:val="000000"/>
          <w:sz w:val="22"/>
        </w:rPr>
        <w:t xml:space="preserve"> Polymer concrete can show harmless color/texture variation. Rejection should turn on structural, dimensional, watertightness, joint, or service-life effect; 2.6.D makes that distinction explicit.</w:t>
      </w:r>
    </w:p>
    <w:p>
      <w:pPr>
        <w:pStyle w:val="Heading2"/>
      </w:pPr>
      <w:r>
        <w:t>C2.6 SOURCE QUALITY CONTROL</w:t>
      </w:r>
    </w:p>
    <w:p>
      <w:pPr>
        <w:pStyle w:val="Heading3"/>
      </w:pPr>
      <w:r>
        <w:t>C2.6.A Qualification, production testing, and traceability</w:t>
      </w:r>
    </w:p>
    <w:p>
      <w:pPr>
        <w:keepLines/>
      </w:pPr>
      <w:r>
        <w:rPr>
          <w:rFonts w:ascii="Calibri" w:hAnsi="Calibri"/>
          <w:b/>
          <w:i w:val="0"/>
          <w:color w:val="000000"/>
          <w:sz w:val="22"/>
        </w:rPr>
        <w:t>Why it is here.</w:t>
      </w:r>
      <w:r>
        <w:rPr>
          <w:rFonts w:ascii="Calibri" w:hAnsi="Calibri"/>
          <w:i w:val="0"/>
          <w:color w:val="000000"/>
          <w:sz w:val="22"/>
        </w:rPr>
        <w:t xml:space="preserve"> Qualification proves the formulation; daily QC controls production; traceability identifies what work is affected if a result fails. None can substitute for the others.</w:t>
      </w:r>
    </w:p>
    <w:p>
      <w:pPr>
        <w:keepLines/>
      </w:pPr>
      <w:r>
        <w:rPr>
          <w:rFonts w:ascii="Calibri" w:hAnsi="Calibri"/>
          <w:b/>
          <w:i w:val="0"/>
          <w:color w:val="000000"/>
          <w:sz w:val="22"/>
        </w:rPr>
        <w:t>Basis.</w:t>
      </w:r>
      <w:r>
        <w:rPr>
          <w:rFonts w:ascii="Calibri" w:hAnsi="Calibri"/>
          <w:i w:val="0"/>
          <w:color w:val="000000"/>
          <w:sz w:val="22"/>
        </w:rPr>
        <w:t xml:space="preserve"> ACI-17 Sections 6, 12, and 15.</w:t>
      </w:r>
    </w:p>
    <w:p>
      <w:pPr>
        <w:pStyle w:val="Heading3"/>
      </w:pPr>
      <w:r>
        <w:t>C2.6.B Two daily compressive specimens and change triggers</w:t>
      </w:r>
    </w:p>
    <w:p>
      <w:pPr>
        <w:keepLines/>
      </w:pPr>
      <w:r>
        <w:rPr>
          <w:rFonts w:ascii="Calibri" w:hAnsi="Calibri"/>
          <w:b/>
          <w:i w:val="0"/>
          <w:color w:val="000000"/>
          <w:sz w:val="22"/>
        </w:rPr>
        <w:t>Why it is here.</w:t>
      </w:r>
      <w:r>
        <w:rPr>
          <w:rFonts w:ascii="Calibri" w:hAnsi="Calibri"/>
          <w:i w:val="0"/>
          <w:color w:val="000000"/>
          <w:sz w:val="22"/>
        </w:rPr>
        <w:t xml:space="preserve"> It adopts ACI-17's production frequency and ensures a resin-lot or proportion change receives fresh verification. Seven-day testing aligns with the specified 7-day strength.</w:t>
      </w:r>
    </w:p>
    <w:p>
      <w:pPr>
        <w:keepLines/>
      </w:pPr>
      <w:r>
        <w:rPr>
          <w:rFonts w:ascii="Calibri" w:hAnsi="Calibri"/>
          <w:b/>
          <w:i w:val="0"/>
          <w:color w:val="000000"/>
          <w:sz w:val="22"/>
        </w:rPr>
        <w:t>Why compressive strength is the daily test.</w:t>
      </w:r>
      <w:r>
        <w:rPr>
          <w:rFonts w:ascii="Calibri" w:hAnsi="Calibri"/>
          <w:i w:val="0"/>
          <w:color w:val="000000"/>
          <w:sz w:val="22"/>
        </w:rPr>
        <w:t xml:space="preserve"> It is practical, repeatable, and sensitive to proportioning and cure problems. Chemical resistance and absorption remain qualification or periodic/change-triggered controls rather than daily production tests unless the manufacturer's approved quality system adds them.</w:t>
      </w:r>
    </w:p>
    <w:p>
      <w:pPr>
        <w:pStyle w:val="Heading3"/>
      </w:pPr>
      <w:r>
        <w:t>C2.6.C Statistical compliance</w:t>
      </w:r>
    </w:p>
    <w:p>
      <w:pPr>
        <w:keepLines/>
      </w:pPr>
      <w:r>
        <w:rPr>
          <w:rFonts w:ascii="Calibri" w:hAnsi="Calibri"/>
          <w:b/>
          <w:i w:val="0"/>
          <w:color w:val="000000"/>
          <w:sz w:val="22"/>
        </w:rPr>
        <w:t>Why it is here.</w:t>
      </w:r>
      <w:r>
        <w:rPr>
          <w:rFonts w:ascii="Calibri" w:hAnsi="Calibri"/>
          <w:i w:val="0"/>
          <w:color w:val="000000"/>
          <w:sz w:val="22"/>
        </w:rPr>
        <w:t xml:space="preserve"> A running average controls sustained process drift, while the 90 percent individual floor prevents one severely weak result from hiding inside an acceptable average.</w:t>
      </w:r>
    </w:p>
    <w:p>
      <w:pPr>
        <w:keepLines/>
      </w:pPr>
      <w:r>
        <w:rPr>
          <w:rFonts w:ascii="Calibri" w:hAnsi="Calibri"/>
          <w:b/>
          <w:i w:val="0"/>
          <w:color w:val="000000"/>
          <w:sz w:val="22"/>
        </w:rPr>
        <w:t>Basis.</w:t>
      </w:r>
      <w:r>
        <w:rPr>
          <w:rFonts w:ascii="Calibri" w:hAnsi="Calibri"/>
          <w:i w:val="0"/>
          <w:color w:val="000000"/>
          <w:sz w:val="22"/>
        </w:rPr>
        <w:t xml:space="preserve"> ACI-17 Section 12.</w:t>
      </w:r>
    </w:p>
    <w:p>
      <w:pPr>
        <w:keepLines/>
      </w:pPr>
      <w:r>
        <w:rPr>
          <w:rFonts w:ascii="Calibri" w:hAnsi="Calibri"/>
          <w:b/>
          <w:i w:val="0"/>
          <w:color w:val="000000"/>
          <w:sz w:val="22"/>
        </w:rPr>
        <w:t>Why not require every specimen to exceed 10,000 psi.</w:t>
      </w:r>
      <w:r>
        <w:rPr>
          <w:rFonts w:ascii="Calibri" w:hAnsi="Calibri"/>
          <w:i w:val="0"/>
          <w:color w:val="000000"/>
          <w:sz w:val="22"/>
        </w:rPr>
        <w:t xml:space="preserve"> Concrete and polymer-concrete acceptance systems recognize test variability. The paired statistical criteria provide a controlled, auditable approach without making a single modest deviation automatically dispositive.</w:t>
      </w:r>
    </w:p>
    <w:p>
      <w:pPr>
        <w:pStyle w:val="Heading3"/>
      </w:pPr>
      <w:r>
        <w:t>C2.6.D Cosmetic issues are not cause for rejection</w:t>
      </w:r>
    </w:p>
    <w:p>
      <w:pPr>
        <w:keepLines/>
      </w:pPr>
      <w:r>
        <w:rPr>
          <w:rFonts w:ascii="Calibri" w:hAnsi="Calibri"/>
          <w:b/>
          <w:i w:val="0"/>
          <w:color w:val="000000"/>
          <w:sz w:val="22"/>
        </w:rPr>
        <w:t>Why it is here.</w:t>
      </w:r>
      <w:r>
        <w:rPr>
          <w:rFonts w:ascii="Calibri" w:hAnsi="Calibri"/>
          <w:i w:val="0"/>
          <w:color w:val="000000"/>
          <w:sz w:val="22"/>
        </w:rPr>
        <w:t xml:space="preserve"> It prevents rejection over harmless color, texture, or small surface variations while preserving every performance requirement.</w:t>
      </w:r>
    </w:p>
    <w:p>
      <w:pPr>
        <w:keepLines/>
      </w:pPr>
      <w:r>
        <w:rPr>
          <w:rFonts w:ascii="Calibri" w:hAnsi="Calibri"/>
          <w:b/>
          <w:i w:val="0"/>
          <w:color w:val="000000"/>
          <w:sz w:val="22"/>
        </w:rPr>
        <w:t>Why this replaces a list of permissible defects.</w:t>
      </w:r>
      <w:r>
        <w:rPr>
          <w:rFonts w:ascii="Calibri" w:hAnsi="Calibri"/>
          <w:i w:val="0"/>
          <w:color w:val="000000"/>
          <w:sz w:val="22"/>
        </w:rPr>
        <w:t xml:space="preserve"> A numerical list can accidentally legitimize a defect in a critical location. The effects-based test is clearer: cosmetic only if strength, watertightness, tolerance, joint performance, and service life are unaffected.</w:t>
      </w:r>
    </w:p>
    <w:p>
      <w:pPr>
        <w:keepLines/>
      </w:pPr>
      <w:r>
        <w:rPr>
          <w:rFonts w:ascii="Calibri" w:hAnsi="Calibri"/>
          <w:b/>
          <w:i w:val="0"/>
          <w:color w:val="000000"/>
          <w:sz w:val="22"/>
        </w:rPr>
        <w:t>What remains rejectable.</w:t>
      </w:r>
      <w:r>
        <w:rPr>
          <w:rFonts w:ascii="Calibri" w:hAnsi="Calibri"/>
          <w:i w:val="0"/>
          <w:color w:val="000000"/>
          <w:sz w:val="22"/>
        </w:rPr>
        <w:t xml:space="preserve"> Cracks, uncured or resin-starved material, delamination, exposed steel, dimensional nonconformance, damaged sealing faces, structural damage, leakage, or an unqualified repair are not made acceptable by calling them cosmetic.</w:t>
      </w:r>
    </w:p>
    <w:p>
      <w:pPr>
        <w:pStyle w:val="Heading1"/>
        <w:pageBreakBefore/>
      </w:pPr>
      <w:r>
        <w:t>PART 3 - EXECUTION: COMMENTARY</w:t>
      </w:r>
    </w:p>
    <w:p>
      <w:pPr>
        <w:pStyle w:val="Heading2"/>
      </w:pPr>
      <w:r>
        <w:t>C3.1 EXAMINATION</w:t>
      </w:r>
    </w:p>
    <w:p>
      <w:pPr>
        <w:pStyle w:val="Heading3"/>
      </w:pPr>
      <w:r>
        <w:t>C3.1.A Site readiness</w:t>
      </w:r>
    </w:p>
    <w:p>
      <w:pPr>
        <w:keepLines/>
      </w:pPr>
      <w:r>
        <w:rPr>
          <w:rFonts w:ascii="Calibri" w:hAnsi="Calibri"/>
          <w:b/>
          <w:i w:val="0"/>
          <w:color w:val="000000"/>
          <w:sz w:val="22"/>
        </w:rPr>
        <w:t>Why it is here.</w:t>
      </w:r>
      <w:r>
        <w:rPr>
          <w:rFonts w:ascii="Calibri" w:hAnsi="Calibri"/>
          <w:i w:val="0"/>
          <w:color w:val="000000"/>
          <w:sz w:val="22"/>
        </w:rPr>
        <w:t xml:space="preserve"> Installation should not begin until excavation, foundation, groundwater control, and pipe geometry match the approved design. This is a hold point, not a transfer of earthwork responsibility to the manufacturer.</w:t>
      </w:r>
    </w:p>
    <w:p>
      <w:pPr>
        <w:pStyle w:val="Heading3"/>
      </w:pPr>
      <w:r>
        <w:t>C3.1.B Component inspection</w:t>
      </w:r>
    </w:p>
    <w:p>
      <w:pPr>
        <w:keepLines/>
      </w:pPr>
      <w:r>
        <w:rPr>
          <w:rFonts w:ascii="Calibri" w:hAnsi="Calibri"/>
          <w:b/>
          <w:i w:val="0"/>
          <w:color w:val="000000"/>
          <w:sz w:val="22"/>
        </w:rPr>
        <w:t>Why it is here.</w:t>
      </w:r>
      <w:r>
        <w:rPr>
          <w:rFonts w:ascii="Calibri" w:hAnsi="Calibri"/>
          <w:i w:val="0"/>
          <w:color w:val="000000"/>
          <w:sz w:val="22"/>
        </w:rPr>
        <w:t xml:space="preserve"> Damage and contamination are easiest to identify before lowering. Installed joints can conceal chipped faces, dirty gaskets, or cracked components.</w:t>
      </w:r>
    </w:p>
    <w:p>
      <w:pPr>
        <w:keepLines/>
      </w:pPr>
      <w:r>
        <w:rPr>
          <w:rFonts w:ascii="Calibri" w:hAnsi="Calibri"/>
          <w:b/>
          <w:i w:val="0"/>
          <w:color w:val="000000"/>
          <w:sz w:val="22"/>
        </w:rPr>
        <w:t>Why the acceptance test is performance based.</w:t>
      </w:r>
      <w:r>
        <w:rPr>
          <w:rFonts w:ascii="Calibri" w:hAnsi="Calibri"/>
          <w:i w:val="0"/>
          <w:color w:val="000000"/>
          <w:sz w:val="22"/>
        </w:rPr>
        <w:t xml:space="preserve"> Minor cosmetic variation may remain acceptable; damage affecting capacity or watertightness is not.</w:t>
      </w:r>
    </w:p>
    <w:p>
      <w:pPr>
        <w:pStyle w:val="Heading3"/>
      </w:pPr>
      <w:r>
        <w:t>C3.1.C No-geotechnical-report subgrade safeguard</w:t>
      </w:r>
    </w:p>
    <w:p>
      <w:pPr>
        <w:keepLines/>
      </w:pPr>
      <w:r>
        <w:rPr>
          <w:rFonts w:ascii="Calibri" w:hAnsi="Calibri"/>
          <w:b/>
          <w:i w:val="0"/>
          <w:color w:val="000000"/>
          <w:sz w:val="22"/>
        </w:rPr>
        <w:t>Why it is here.</w:t>
      </w:r>
      <w:r>
        <w:rPr>
          <w:rFonts w:ascii="Calibri" w:hAnsi="Calibri"/>
          <w:i w:val="0"/>
          <w:color w:val="000000"/>
          <w:sz w:val="22"/>
        </w:rPr>
        <w:t xml:space="preserve"> The design baselines in 2.2.B allow engineering to proceed without a report, but they cannot detect an unsuitable excavation. Field observation is the safety valve.</w:t>
      </w:r>
    </w:p>
    <w:p>
      <w:pPr>
        <w:keepLines/>
      </w:pPr>
      <w:r>
        <w:rPr>
          <w:rFonts w:ascii="Calibri" w:hAnsi="Calibri"/>
          <w:b/>
          <w:i w:val="0"/>
          <w:color w:val="000000"/>
          <w:sz w:val="22"/>
        </w:rPr>
        <w:t>Why notify the Engineer rather than improvise.</w:t>
      </w:r>
      <w:r>
        <w:rPr>
          <w:rFonts w:ascii="Calibri" w:hAnsi="Calibri"/>
          <w:i w:val="0"/>
          <w:color w:val="000000"/>
          <w:sz w:val="22"/>
        </w:rPr>
        <w:t xml:space="preserve"> Soft, pumping, organic, loose, or unstable subgrade may require undercut, stabilization, geotextile, thicker bedding, a foundation slab, or redesign. The contractor should not select the engineering solution unilaterally.</w:t>
      </w:r>
    </w:p>
    <w:p>
      <w:pPr>
        <w:pStyle w:val="Heading2"/>
      </w:pPr>
      <w:r>
        <w:t>C3.2 INSTALLATION</w:t>
      </w:r>
    </w:p>
    <w:p>
      <w:pPr>
        <w:pStyle w:val="Heading3"/>
      </w:pPr>
      <w:r>
        <w:t>C3.2.A Location, elevation, orientation, and instructions</w:t>
      </w:r>
    </w:p>
    <w:p>
      <w:pPr>
        <w:keepLines/>
      </w:pPr>
      <w:r>
        <w:rPr>
          <w:rFonts w:ascii="Calibri" w:hAnsi="Calibri"/>
          <w:b/>
          <w:i w:val="0"/>
          <w:color w:val="000000"/>
          <w:sz w:val="22"/>
        </w:rPr>
        <w:t>Why it is here.</w:t>
      </w:r>
      <w:r>
        <w:rPr>
          <w:rFonts w:ascii="Calibri" w:hAnsi="Calibri"/>
          <w:i w:val="0"/>
          <w:color w:val="000000"/>
          <w:sz w:val="22"/>
        </w:rPr>
        <w:t xml:space="preserve"> The Drawings establish system geometry; approved shop drawings establish component arrangement; manufacturer instructions establish product-specific means and methods. All three are needed.</w:t>
      </w:r>
    </w:p>
    <w:p>
      <w:pPr>
        <w:pStyle w:val="Heading3"/>
      </w:pPr>
      <w:r>
        <w:t>C3.2.B Stable level foundation and full bearing</w:t>
      </w:r>
    </w:p>
    <w:p>
      <w:pPr>
        <w:keepLines/>
      </w:pPr>
      <w:r>
        <w:rPr>
          <w:rFonts w:ascii="Calibri" w:hAnsi="Calibri"/>
          <w:b/>
          <w:i w:val="0"/>
          <w:color w:val="000000"/>
          <w:sz w:val="22"/>
        </w:rPr>
        <w:t>Why it is here.</w:t>
      </w:r>
      <w:r>
        <w:rPr>
          <w:rFonts w:ascii="Calibri" w:hAnsi="Calibri"/>
          <w:i w:val="0"/>
          <w:color w:val="000000"/>
          <w:sz w:val="22"/>
        </w:rPr>
        <w:t xml:space="preserve"> Uniform bearing prevents stress concentrations, rotation, joint opening, and incorrect bearing-pressure assumptions.</w:t>
      </w:r>
    </w:p>
    <w:p>
      <w:pPr>
        <w:keepLines/>
      </w:pPr>
      <w:r>
        <w:rPr>
          <w:rFonts w:ascii="Calibri" w:hAnsi="Calibri"/>
          <w:b/>
          <w:i w:val="0"/>
          <w:color w:val="000000"/>
          <w:sz w:val="22"/>
        </w:rPr>
        <w:t>Why the specification does not prescribe one bedding material.</w:t>
      </w:r>
      <w:r>
        <w:rPr>
          <w:rFonts w:ascii="Calibri" w:hAnsi="Calibri"/>
          <w:i w:val="0"/>
          <w:color w:val="000000"/>
          <w:sz w:val="22"/>
        </w:rPr>
        <w:t xml:space="preserve"> Soil, groundwater, owner standards, and trench conditions vary. The project earthwork documents should select the system.</w:t>
      </w:r>
    </w:p>
    <w:p>
      <w:pPr>
        <w:pStyle w:val="Heading3"/>
      </w:pPr>
      <w:r>
        <w:t>C3.2.C Joint and connector installation</w:t>
      </w:r>
    </w:p>
    <w:p>
      <w:pPr>
        <w:keepLines/>
      </w:pPr>
      <w:r>
        <w:rPr>
          <w:rFonts w:ascii="Calibri" w:hAnsi="Calibri"/>
          <w:b/>
          <w:i w:val="0"/>
          <w:color w:val="000000"/>
          <w:sz w:val="22"/>
        </w:rPr>
        <w:t>Why it is here.</w:t>
      </w:r>
      <w:r>
        <w:rPr>
          <w:rFonts w:ascii="Calibri" w:hAnsi="Calibri"/>
          <w:i w:val="0"/>
          <w:color w:val="000000"/>
          <w:sz w:val="22"/>
        </w:rPr>
        <w:t xml:space="preserve"> Qualified materials can fail if surfaces are dirty, lubricant is wrong, sealant is stretched, hardware torque is incorrect, or sections are not fully seated.</w:t>
      </w:r>
    </w:p>
    <w:p>
      <w:pPr>
        <w:keepLines/>
      </w:pPr>
      <w:r>
        <w:rPr>
          <w:rFonts w:ascii="Calibri" w:hAnsi="Calibri"/>
          <w:b/>
          <w:i w:val="0"/>
          <w:color w:val="000000"/>
          <w:sz w:val="22"/>
        </w:rPr>
        <w:t>Why follow each component manufacturer.</w:t>
      </w:r>
      <w:r>
        <w:rPr>
          <w:rFonts w:ascii="Calibri" w:hAnsi="Calibri"/>
          <w:i w:val="0"/>
          <w:color w:val="000000"/>
          <w:sz w:val="22"/>
        </w:rPr>
        <w:t xml:space="preserve"> Gasket, sealant, and connector procedures are product-specific and may have incompatible lubricants, temperature limits, or torque values.</w:t>
      </w:r>
    </w:p>
    <w:p>
      <w:pPr>
        <w:pStyle w:val="Heading3"/>
      </w:pPr>
      <w:r>
        <w:t>C3.2.D Plumbness, channel alignment, and prohibited adjustment</w:t>
      </w:r>
    </w:p>
    <w:p>
      <w:pPr>
        <w:keepLines/>
      </w:pPr>
      <w:r>
        <w:rPr>
          <w:rFonts w:ascii="Calibri" w:hAnsi="Calibri"/>
          <w:b/>
          <w:i w:val="0"/>
          <w:color w:val="000000"/>
          <w:sz w:val="22"/>
        </w:rPr>
        <w:t>Why it is here.</w:t>
      </w:r>
      <w:r>
        <w:rPr>
          <w:rFonts w:ascii="Calibri" w:hAnsi="Calibri"/>
          <w:i w:val="0"/>
          <w:color w:val="000000"/>
          <w:sz w:val="22"/>
        </w:rPr>
        <w:t xml:space="preserve"> Wedges and impact can create point loads, chip joint faces, or damage brittle sections. Unapproved field cutting or forcing can sever reinforcement and invalidate design.</w:t>
      </w:r>
    </w:p>
    <w:p>
      <w:pPr>
        <w:pStyle w:val="Heading3"/>
      </w:pPr>
      <w:r>
        <w:t>C3.2.E Isolate pipe loads</w:t>
      </w:r>
    </w:p>
    <w:p>
      <w:pPr>
        <w:keepLines/>
      </w:pPr>
      <w:r>
        <w:rPr>
          <w:rFonts w:ascii="Calibri" w:hAnsi="Calibri"/>
          <w:b/>
          <w:i w:val="0"/>
          <w:color w:val="000000"/>
          <w:sz w:val="22"/>
        </w:rPr>
        <w:t>Why it is here.</w:t>
      </w:r>
      <w:r>
        <w:rPr>
          <w:rFonts w:ascii="Calibri" w:hAnsi="Calibri"/>
          <w:i w:val="0"/>
          <w:color w:val="000000"/>
          <w:sz w:val="22"/>
        </w:rPr>
        <w:t xml:space="preserve"> A connector is intended to seal and accommodate limited movement, not carry uncontrolled pipe settlement, bending, or shear. Proper pipe bedding near the manhole is essential.</w:t>
      </w:r>
    </w:p>
    <w:p>
      <w:pPr>
        <w:pStyle w:val="Heading3"/>
      </w:pPr>
      <w:r>
        <w:t>C3.2.F Uniform backfill</w:t>
      </w:r>
    </w:p>
    <w:p>
      <w:pPr>
        <w:keepLines/>
      </w:pPr>
      <w:r>
        <w:rPr>
          <w:rFonts w:ascii="Calibri" w:hAnsi="Calibri"/>
          <w:b/>
          <w:i w:val="0"/>
          <w:color w:val="000000"/>
          <w:sz w:val="22"/>
        </w:rPr>
        <w:t>Why it is here.</w:t>
      </w:r>
      <w:r>
        <w:rPr>
          <w:rFonts w:ascii="Calibri" w:hAnsi="Calibri"/>
          <w:i w:val="0"/>
          <w:color w:val="000000"/>
          <w:sz w:val="22"/>
        </w:rPr>
        <w:t xml:space="preserve"> Unbalanced lifts can displace or distort the stack, open joints, and overstress connectors. Lift thickness and density remain governed by the earthwork section.</w:t>
      </w:r>
    </w:p>
    <w:p>
      <w:pPr>
        <w:pStyle w:val="Heading3"/>
      </w:pPr>
      <w:r>
        <w:t>C3.2.G Repairs and replacement</w:t>
      </w:r>
    </w:p>
    <w:p>
      <w:pPr>
        <w:keepLines/>
      </w:pPr>
      <w:r>
        <w:rPr>
          <w:rFonts w:ascii="Calibri" w:hAnsi="Calibri"/>
          <w:b/>
          <w:i w:val="0"/>
          <w:color w:val="000000"/>
          <w:sz w:val="22"/>
        </w:rPr>
        <w:t>Why it is here.</w:t>
      </w:r>
      <w:r>
        <w:rPr>
          <w:rFonts w:ascii="Calibri" w:hAnsi="Calibri"/>
          <w:i w:val="0"/>
          <w:color w:val="000000"/>
          <w:sz w:val="22"/>
        </w:rPr>
        <w:t xml:space="preserve"> Minor defects can be repaired only with an approved system and procedure; structural damage or an unrecoverable defect requires replacement.</w:t>
      </w:r>
    </w:p>
    <w:p>
      <w:pPr>
        <w:keepLines/>
      </w:pPr>
      <w:r>
        <w:rPr>
          <w:rFonts w:ascii="Calibri" w:hAnsi="Calibri"/>
          <w:b/>
          <w:i w:val="0"/>
          <w:color w:val="000000"/>
          <w:sz w:val="22"/>
        </w:rPr>
        <w:t>Why no broad field-repair permission.</w:t>
      </w:r>
      <w:r>
        <w:rPr>
          <w:rFonts w:ascii="Calibri" w:hAnsi="Calibri"/>
          <w:i w:val="0"/>
          <w:color w:val="000000"/>
          <w:sz w:val="22"/>
        </w:rPr>
        <w:t xml:space="preserve"> The repair's substrate preparation, geometry, cure, chemical exposure, and inspection determine whether performance is restored. Manufacturer approval preserves accountability.</w:t>
      </w:r>
    </w:p>
    <w:p>
      <w:pPr>
        <w:pStyle w:val="Heading2"/>
      </w:pPr>
      <w:r>
        <w:t>C3.3 FIELD QUALITY CONTROL</w:t>
      </w:r>
    </w:p>
    <w:p>
      <w:pPr>
        <w:pStyle w:val="Heading3"/>
      </w:pPr>
      <w:r>
        <w:t>C3.3.A Visual inspection</w:t>
      </w:r>
    </w:p>
    <w:p>
      <w:pPr>
        <w:keepLines/>
      </w:pPr>
      <w:r>
        <w:rPr>
          <w:rFonts w:ascii="Calibri" w:hAnsi="Calibri"/>
          <w:b/>
          <w:i w:val="0"/>
          <w:color w:val="000000"/>
          <w:sz w:val="22"/>
        </w:rPr>
        <w:t>Why it is here.</w:t>
      </w:r>
      <w:r>
        <w:rPr>
          <w:rFonts w:ascii="Calibri" w:hAnsi="Calibri"/>
          <w:i w:val="0"/>
          <w:color w:val="000000"/>
          <w:sz w:val="22"/>
        </w:rPr>
        <w:t xml:space="preserve"> Alignment, cleanliness, joint seating, connector installation, and visible damage are direct workmanship indicators and can reveal problems a pressure test alone misses.</w:t>
      </w:r>
    </w:p>
    <w:p>
      <w:pPr>
        <w:pStyle w:val="Heading3"/>
      </w:pPr>
      <w:r>
        <w:t>C3.3.B Watertightness test options</w:t>
      </w:r>
    </w:p>
    <w:p>
      <w:pPr>
        <w:keepLines/>
      </w:pPr>
      <w:r>
        <w:rPr>
          <w:rFonts w:ascii="Calibri" w:hAnsi="Calibri"/>
          <w:b/>
          <w:i w:val="0"/>
          <w:color w:val="000000"/>
          <w:sz w:val="22"/>
        </w:rPr>
        <w:t>Why the project must select one route.</w:t>
      </w:r>
      <w:r>
        <w:rPr>
          <w:rFonts w:ascii="Calibri" w:hAnsi="Calibri"/>
          <w:i w:val="0"/>
          <w:color w:val="000000"/>
          <w:sz w:val="22"/>
        </w:rPr>
        <w:t xml:space="preserve"> Owner programs differ. Select exactly one: pre-backfill C1244 vacuum testing, testing under a coordinated project section, or no standalone field test.</w:t>
      </w:r>
    </w:p>
    <w:p>
      <w:pPr>
        <w:keepLines/>
      </w:pPr>
      <w:r>
        <w:rPr>
          <w:rFonts w:ascii="Calibri" w:hAnsi="Calibri"/>
          <w:b/>
          <w:i w:val="0"/>
          <w:color w:val="000000"/>
          <w:sz w:val="22"/>
        </w:rPr>
        <w:t>Why C1244 is the named default.</w:t>
      </w:r>
      <w:r>
        <w:rPr>
          <w:rFonts w:ascii="Calibri" w:hAnsi="Calibri"/>
          <w:i w:val="0"/>
          <w:color w:val="000000"/>
          <w:sz w:val="22"/>
        </w:rPr>
        <w:t xml:space="preserve"> It is a recognized manhole test and is referenced by ACI-17. It tests the assembled system, including field joints and pipe penetrations.</w:t>
      </w:r>
    </w:p>
    <w:p>
      <w:pPr>
        <w:keepLines/>
      </w:pPr>
      <w:r>
        <w:rPr>
          <w:rFonts w:ascii="Calibri" w:hAnsi="Calibri"/>
          <w:b/>
          <w:i w:val="0"/>
          <w:color w:val="000000"/>
          <w:sz w:val="22"/>
        </w:rPr>
        <w:t>Why not invent a generic positive-air test.</w:t>
      </w:r>
      <w:r>
        <w:rPr>
          <w:rFonts w:ascii="Calibri" w:hAnsi="Calibri"/>
          <w:i w:val="0"/>
          <w:color w:val="000000"/>
          <w:sz w:val="22"/>
        </w:rPr>
        <w:t xml:space="preserve"> Compressed-air procedures create stored-energy hazards and ambiguous acceptance unless a validated standard defines apparatus, pressure, duration, plugs, safety, and corrections.</w:t>
      </w:r>
    </w:p>
    <w:p>
      <w:r>
        <w:rPr>
          <w:rFonts w:ascii="Calibri" w:hAnsi="Calibri"/>
          <w:b/>
          <w:i w:val="0"/>
          <w:color w:val="000000"/>
          <w:sz w:val="22"/>
        </w:rPr>
        <w:t>Coordination warning.</w:t>
      </w:r>
      <w:r>
        <w:rPr>
          <w:rFonts w:ascii="Calibri" w:hAnsi="Calibri"/>
          <w:i w:val="0"/>
          <w:color w:val="000000"/>
          <w:sz w:val="22"/>
        </w:rPr>
        <w:t xml:space="preserve"> C1244 is titled for concrete sewer manholes and is performed before backfill. Confirm the selected procedure, component ratings, plug restraints, groundwater correction, test timing, and responsible party. ASTM C1964 may be considered where a post-backfill method is desired and adopted.</w:t>
      </w:r>
    </w:p>
    <w:p>
      <w:pPr>
        <w:pStyle w:val="Heading3"/>
      </w:pPr>
      <w:r>
        <w:t>C3.3.C No visible leakage; repair and retest</w:t>
      </w:r>
    </w:p>
    <w:p>
      <w:pPr>
        <w:keepLines/>
      </w:pPr>
      <w:r>
        <w:rPr>
          <w:rFonts w:ascii="Calibri" w:hAnsi="Calibri"/>
          <w:b/>
          <w:i w:val="0"/>
          <w:color w:val="000000"/>
          <w:sz w:val="22"/>
        </w:rPr>
        <w:t>Why it is here.</w:t>
      </w:r>
      <w:r>
        <w:rPr>
          <w:rFonts w:ascii="Calibri" w:hAnsi="Calibri"/>
          <w:i w:val="0"/>
          <w:color w:val="000000"/>
          <w:sz w:val="22"/>
        </w:rPr>
        <w:t xml:space="preserve"> Passing a numerical test does not make an observed leak acceptable. Repair-and-retest closes the loop and prevents acceptance of temporary sealing.</w:t>
      </w:r>
    </w:p>
    <w:p>
      <w:pPr>
        <w:keepLines/>
      </w:pPr>
      <w:r>
        <w:rPr>
          <w:rFonts w:ascii="Calibri" w:hAnsi="Calibri"/>
          <w:b/>
          <w:i w:val="0"/>
          <w:color w:val="000000"/>
          <w:sz w:val="22"/>
        </w:rPr>
        <w:t>Why manufacturer-approved repair.</w:t>
      </w:r>
      <w:r>
        <w:rPr>
          <w:rFonts w:ascii="Calibri" w:hAnsi="Calibri"/>
          <w:i w:val="0"/>
          <w:color w:val="000000"/>
          <w:sz w:val="22"/>
        </w:rPr>
        <w:t xml:space="preserve"> Leakage may arise from seating, connector torque, joint damage, or cracked material; the correct remedy depends on cause.</w:t>
      </w:r>
    </w:p>
    <w:p>
      <w:pPr>
        <w:pStyle w:val="Heading2"/>
      </w:pPr>
      <w:r>
        <w:t>C3.4 CLEANING AND PROTECTION</w:t>
      </w:r>
    </w:p>
    <w:p>
      <w:pPr>
        <w:pStyle w:val="Heading3"/>
      </w:pPr>
      <w:r>
        <w:t>C3.4.A Final condition</w:t>
      </w:r>
    </w:p>
    <w:p>
      <w:pPr>
        <w:keepLines/>
      </w:pPr>
      <w:r>
        <w:rPr>
          <w:rFonts w:ascii="Calibri" w:hAnsi="Calibri"/>
          <w:b/>
          <w:i w:val="0"/>
          <w:color w:val="000000"/>
          <w:sz w:val="22"/>
        </w:rPr>
        <w:t>Why it is here.</w:t>
      </w:r>
      <w:r>
        <w:rPr>
          <w:rFonts w:ascii="Calibri" w:hAnsi="Calibri"/>
          <w:i w:val="0"/>
          <w:color w:val="000000"/>
          <w:sz w:val="22"/>
        </w:rPr>
        <w:t xml:space="preserve"> Debris can obstruct flow, conceal defects, or damage seals. Protection through acceptance prevents construction traffic, contamination, and later trades from undoing completed work.</w:t>
      </w:r>
    </w:p>
    <w:p>
      <w:pPr>
        <w:keepLines/>
      </w:pPr>
      <w:r>
        <w:rPr>
          <w:rFonts w:ascii="Calibri" w:hAnsi="Calibri"/>
          <w:b/>
          <w:i w:val="0"/>
          <w:color w:val="000000"/>
          <w:sz w:val="22"/>
        </w:rPr>
        <w:t>Why no aggressive cleaning method is prescribed.</w:t>
      </w:r>
      <w:r>
        <w:rPr>
          <w:rFonts w:ascii="Calibri" w:hAnsi="Calibri"/>
          <w:i w:val="0"/>
          <w:color w:val="000000"/>
          <w:sz w:val="22"/>
        </w:rPr>
        <w:t xml:space="preserve"> Solvents, heat, or impact tools can affect resin or elastomers. Use manufacturer-compatible methods.</w:t>
      </w:r>
    </w:p>
    <w:p>
      <w:pPr>
        <w:pStyle w:val="Heading1"/>
        <w:pageBreakBefore/>
      </w:pPr>
      <w:r>
        <w:t>APPENDIX A - REQUIREMENT ORIGIN MAP</w:t>
      </w:r>
    </w:p>
    <w:p>
      <w:pPr>
        <w:pStyle w:val="Heading2"/>
      </w:pPr>
      <w:r>
        <w:t>A.1 DIRECTLY ACI-17-BASED</w:t>
      </w:r>
    </w:p>
    <w:p>
      <w:r>
        <w:rPr>
          <w:rFonts w:ascii="Calibri" w:hAnsi="Calibri"/>
          <w:i w:val="0"/>
          <w:color w:val="000000"/>
          <w:sz w:val="22"/>
        </w:rPr>
        <w:t>Product scope; ACI-350/C857 structural framework; design for soil, water, live, handling, and installation loads; flotation factor 1.2 and limited side friction; sustained-load/creep consideration; 3/4-inch reinforcement cover; noncalcareous aggregate; HDT floor and temperature margin; 10,000 psi compressive minimum at 7 days; 0.20 percent absorption; 112-day C267 qualification; monolithic base/lower wall; C443 or C990 joints; C923 or qualified polymer-mortar connections; dimensional tolerances; daily compressive testing and statistical acceptance; ISO 9001; sealed design documentation; marking; and the 50-year warranty concept.</w:t>
      </w:r>
    </w:p>
    <w:p>
      <w:pPr>
        <w:pStyle w:val="Heading2"/>
      </w:pPr>
      <w:r>
        <w:t>A.2 SPECIFICATION ENHANCEMENTS OR BASIS-OF-DESIGN POSITIONS</w:t>
      </w:r>
    </w:p>
    <w:p>
      <w:r>
        <w:rPr>
          <w:rFonts w:ascii="Calibri" w:hAnsi="Calibri"/>
          <w:i w:val="0"/>
          <w:color w:val="000000"/>
          <w:sz w:val="22"/>
        </w:rPr>
        <w:t>P3 as basis of design; styrene-free vinyl ester rather than any qualified thermoset; steel-only reinforcement; explicit C478-derived minimum reinforcement even when calculations require less; 145 pcf basis-of-design unit weight; minimum nominal manufacturing geometry and maximum riser heights; factory-formed channels and benches; C478-based 0.5D bench height in place of the ACI-17 0.75D provision; expanded component traceability; and alignment of warranty wording with the issued basis-of-design warranty.</w:t>
      </w:r>
    </w:p>
    <w:p>
      <w:pPr>
        <w:pStyle w:val="Heading2"/>
      </w:pPr>
      <w:r>
        <w:t>A.3 PROJECT-DESIGN BASELINES</w:t>
      </w:r>
    </w:p>
    <w:p>
      <w:r>
        <w:rPr>
          <w:rFonts w:ascii="Calibri" w:hAnsi="Calibri"/>
          <w:i w:val="0"/>
          <w:color w:val="000000"/>
          <w:sz w:val="22"/>
        </w:rPr>
        <w:t>Soil 120 pcf, water 62.4 pcf, at-rest coefficient K0 = 0.50, service bearing 2,000 psf, groundwater at grade when no report is available, internal liquid 63 pcf, full-area uniform base support, and field response to unsuitable subgrade. These permit structural design for the expressly stated assumed conditions but do not establish settlement, subgrade suitability, liquefaction resistance, slope stability, or other site-specific geotechnical conclusions.</w:t>
      </w:r>
    </w:p>
    <w:p>
      <w:pPr>
        <w:pStyle w:val="Heading2"/>
      </w:pPr>
      <w:r>
        <w:t>A.4 INDUSTRY-PRACTICE AND CONSTRUCTABILITY INFLUENCES</w:t>
      </w:r>
    </w:p>
    <w:p>
      <w:r>
        <w:rPr>
          <w:rFonts w:ascii="Calibri" w:hAnsi="Calibri"/>
          <w:i w:val="0"/>
          <w:color w:val="000000"/>
          <w:sz w:val="22"/>
        </w:rPr>
        <w:t>Explicit factory-formed hydraulics, handling controls, approved-equal documentation, connector and joint details, field visual acceptance, repair controls, and coordinated field testing reflect established industry norms for administrable precast utility specifications. ACI and ASTM requirements and project engineering remain the technical authorities.</w:t>
      </w:r>
    </w:p>
    <w:p>
      <w:pPr>
        <w:pStyle w:val="Heading1"/>
        <w:pageBreakBefore/>
      </w:pPr>
      <w:r>
        <w:t>APPENDIX B - COMMON SPECIFIER QUESTIONS</w:t>
      </w:r>
    </w:p>
    <w:p>
      <w:pPr>
        <w:pStyle w:val="Heading2"/>
      </w:pPr>
      <w:r>
        <w:t>B.1 Is polymer concrete just coated concrete?</w:t>
      </w:r>
    </w:p>
    <w:p>
      <w:r>
        <w:rPr>
          <w:rFonts w:ascii="Calibri" w:hAnsi="Calibri"/>
          <w:i w:val="0"/>
          <w:color w:val="000000"/>
          <w:sz w:val="22"/>
        </w:rPr>
        <w:t>No. In this section the thermosetting resin is the binder throughout the structural polymer-concrete matrix. A coating over Portland-cement concrete is a different system with different failure modes and qualification requirements.</w:t>
      </w:r>
    </w:p>
    <w:p>
      <w:pPr>
        <w:pStyle w:val="Heading2"/>
      </w:pPr>
      <w:r>
        <w:t>B.2 Why can the material resist sewer acid?</w:t>
      </w:r>
    </w:p>
    <w:p>
      <w:r>
        <w:rPr>
          <w:rFonts w:ascii="Calibri" w:hAnsi="Calibri"/>
          <w:i w:val="0"/>
          <w:color w:val="000000"/>
          <w:sz w:val="22"/>
        </w:rPr>
        <w:t>The resin binder does not depend on an alkaline Portland-cement matrix, and the specification excludes acid-soluble calcareous aggregate. Durability nevertheless depends on the complete formulation, cure, temperature, defects, and chemical concentration; that is why whole-mixture C267 qualification is mandatory.</w:t>
      </w:r>
    </w:p>
    <w:p>
      <w:pPr>
        <w:pStyle w:val="Heading2"/>
      </w:pPr>
      <w:r>
        <w:t>B.3 Does high compressive strength eliminate reinforcement?</w:t>
      </w:r>
    </w:p>
    <w:p>
      <w:r>
        <w:rPr>
          <w:rFonts w:ascii="Calibri" w:hAnsi="Calibri"/>
          <w:i w:val="0"/>
          <w:color w:val="000000"/>
          <w:sz w:val="22"/>
        </w:rPr>
        <w:t>No. Compressive capacity is only one limit state. Openings, handling, local forces, flexure, cracking, impact, tolerances, and abnormal conditions remain. The specification states C478-derived manhole reinforcement areas and spacing as a robustness floor and adds steel where calculations require. Steel also supplies a yielding mechanism and familiar crack-control stiffness. Those qualities matter in a human-entry structure and in a sanitary system, where cracks can become infiltration and inflow pathways; reinforcement with adequate tensile strength but lower stiffness or no yield plateau is not automatically equivalent.</w:t>
      </w:r>
    </w:p>
    <w:p>
      <w:pPr>
        <w:pStyle w:val="Heading2"/>
      </w:pPr>
      <w:r>
        <w:t>B.4 Why are the walls thicker than some other products?</w:t>
      </w:r>
    </w:p>
    <w:p>
      <w:r>
        <w:rPr>
          <w:rFonts w:ascii="Calibri" w:hAnsi="Calibri"/>
          <w:i w:val="0"/>
          <w:color w:val="000000"/>
          <w:sz w:val="22"/>
        </w:rPr>
        <w:t>The specified dimensions are minimum nominal manufacturing geometry. Experience with casting, reinforcement placement, joint and penetration formation, demolding, and handling shows that the thinnest section capable of passing an idealized calculation is not necessarily the most consistently manufacturable product. Project calculations may increase the dimensions.</w:t>
      </w:r>
    </w:p>
    <w:p>
      <w:pPr>
        <w:pStyle w:val="Heading2"/>
      </w:pPr>
      <w:r>
        <w:t>B.5 Can a calculation reduce a Table 1 dimension?</w:t>
      </w:r>
    </w:p>
    <w:p>
      <w:r>
        <w:rPr>
          <w:rFonts w:ascii="Calibri" w:hAnsi="Calibri"/>
          <w:i w:val="0"/>
          <w:color w:val="000000"/>
          <w:sz w:val="22"/>
        </w:rPr>
        <w:t>No. Table 1 values are minimum nominal casting dimensions. A sealed calculation can require a larger value, more reinforcement, or a different component arrangement, but cannot approve a smaller listed nominal dimension under this specification.</w:t>
      </w:r>
    </w:p>
    <w:p>
      <w:pPr>
        <w:pStyle w:val="Heading2"/>
      </w:pPr>
      <w:r>
        <w:t>B.6 Can the design be completed without a geotechnical report?</w:t>
      </w:r>
    </w:p>
    <w:p>
      <w:r>
        <w:rPr>
          <w:rFonts w:ascii="Calibri" w:hAnsi="Calibri"/>
          <w:i w:val="0"/>
          <w:color w:val="000000"/>
          <w:sz w:val="22"/>
        </w:rPr>
        <w:t>The section permits structural design for stated ordinary engineered-granular-backfill assumptions when project-specific data are unavailable. It does not establish site suitability, settlement, liquefaction resistance, slope stability, or the suitability of undocumented fill. Available geotechnical data control, and field-observed unsuitable subgrade triggers an Engineer hold point.</w:t>
      </w:r>
    </w:p>
    <w:p>
      <w:pPr>
        <w:pStyle w:val="Heading2"/>
      </w:pPr>
      <w:r>
        <w:t>B.7 Why is flotation safety 1.2 rather than 1.5?</w:t>
      </w:r>
    </w:p>
    <w:p>
      <w:r>
        <w:rPr>
          <w:rFonts w:ascii="Calibri" w:hAnsi="Calibri"/>
          <w:i w:val="0"/>
          <w:color w:val="000000"/>
          <w:sz w:val="22"/>
        </w:rPr>
        <w:t>ACI-17 establishes 1.2. A higher project criterion may be used, but making 1.5 universal would add weight or restraint beyond the consensus minimum even where site data do not justify it.</w:t>
      </w:r>
    </w:p>
    <w:p>
      <w:pPr>
        <w:pStyle w:val="Heading2"/>
      </w:pPr>
      <w:r>
        <w:t>B.8 Why require vinyl ester and styrene-free resin?</w:t>
      </w:r>
    </w:p>
    <w:p>
      <w:r>
        <w:rPr>
          <w:rFonts w:ascii="Calibri" w:hAnsi="Calibri"/>
          <w:i w:val="0"/>
          <w:color w:val="000000"/>
          <w:sz w:val="22"/>
        </w:rPr>
        <w:t>Vinyl ester fixes the specified corrosion-resistant binder family. Compared with general-purpose unsaturated polyester, its network contains fewer ester linkages susceptible to hydrolysis and generally provides greater hydrolytic stability and broad-range chemical resistance; comparative sewer-resin studies support that distinction. Styrene-free cure chemistry principally reduces a recognized occupational hazard in resin handling and manufacturing and also removes styrene as a potential residual release constituent. The complete finished-mixture qualification remains controlling.</w:t>
      </w:r>
    </w:p>
    <w:p>
      <w:pPr>
        <w:pStyle w:val="Heading2"/>
      </w:pPr>
      <w:r>
        <w:t>B.9 Why is no minimum flexural strength specified?</w:t>
      </w:r>
    </w:p>
    <w:p>
      <w:r>
        <w:rPr>
          <w:rFonts w:ascii="Calibri" w:hAnsi="Calibri"/>
          <w:i w:val="0"/>
          <w:color w:val="000000"/>
          <w:sz w:val="22"/>
        </w:rPr>
        <w:t>ACI-17 establishes a 10,000 psi minimum compressive qualification strength but does not prescribe a universal minimum flexural value. Tensile or flexural strength and modulus are determined when required by the selected structural design method. This avoids imposing a formulation-specific threshold that is not used in the sealed calculations.</w:t>
      </w:r>
    </w:p>
    <w:p>
      <w:pPr>
        <w:pStyle w:val="Heading2"/>
      </w:pPr>
      <w:r>
        <w:t>B.10 Why is chemical qualification more than sulfuric acid?</w:t>
      </w:r>
    </w:p>
    <w:p>
      <w:r>
        <w:rPr>
          <w:rFonts w:ascii="Calibri" w:hAnsi="Calibri"/>
          <w:i w:val="0"/>
          <w:color w:val="000000"/>
          <w:sz w:val="22"/>
        </w:rPr>
        <w:t>Sewer and process structures may encounter acids, oxidizers, salts, and alkalis. Chemical resistance is reagent-specific, so ACI-17's multi-reagent 112-day program addresses more failure modes than an 86-day sulfuric-acid-only clause. The broader consensus program is the more defensible basis for product qualification.</w:t>
      </w:r>
    </w:p>
    <w:p>
      <w:pPr>
        <w:pStyle w:val="Heading2"/>
      </w:pPr>
      <w:r>
        <w:t>B.11 Why can cosmetic imperfections remain?</w:t>
      </w:r>
    </w:p>
    <w:p>
      <w:r>
        <w:rPr>
          <w:rFonts w:ascii="Calibri" w:hAnsi="Calibri"/>
          <w:i w:val="0"/>
          <w:color w:val="000000"/>
          <w:sz w:val="22"/>
        </w:rPr>
        <w:t>Color and texture are not structural properties. Rejecting harmless variation adds cost without protecting the owner. The clause never excuses a defect that affects strength, watertightness, dimension, joint performance, or service life.</w:t>
      </w:r>
    </w:p>
    <w:p>
      <w:pPr>
        <w:pStyle w:val="Heading2"/>
      </w:pPr>
      <w:r>
        <w:t>B.12 Are C443 and C990 interchangeable?</w:t>
      </w:r>
    </w:p>
    <w:p>
      <w:r>
        <w:rPr>
          <w:rFonts w:ascii="Calibri" w:hAnsi="Calibri"/>
          <w:i w:val="0"/>
          <w:color w:val="000000"/>
          <w:sz w:val="22"/>
        </w:rPr>
        <w:t>They are both permitted joint-system routes, but they are not the same material or installation. The manufacturer must provide a joint geometry and procedure qualified for the selected system; an owner may narrow the option.</w:t>
      </w:r>
    </w:p>
    <w:p>
      <w:pPr>
        <w:pStyle w:val="Heading2"/>
      </w:pPr>
      <w:r>
        <w:t>B.13 Is C923 valid even though its title says reinforced concrete?</w:t>
      </w:r>
    </w:p>
    <w:p>
      <w:r>
        <w:rPr>
          <w:rFonts w:ascii="Calibri" w:hAnsi="Calibri"/>
          <w:i w:val="0"/>
          <w:color w:val="000000"/>
          <w:sz w:val="22"/>
        </w:rPr>
        <w:t>It is the recognized pipe-connector performance framework and is incorporated by ACI-17. Application to polymer concrete requires a connector/opening detail qualified for the submitted wall geometry and material.</w:t>
      </w:r>
    </w:p>
    <w:p>
      <w:pPr>
        <w:pStyle w:val="Heading2"/>
      </w:pPr>
      <w:r>
        <w:t>B.14 Is there a consensus design standard for FRP-bar-reinforced polymer-concrete manholes?</w:t>
      </w:r>
    </w:p>
    <w:p>
      <w:r>
        <w:rPr>
          <w:rFonts w:ascii="Calibri" w:hAnsi="Calibri"/>
          <w:i w:val="0"/>
          <w:color w:val="000000"/>
          <w:sz w:val="22"/>
        </w:rPr>
        <w:t>No complete manhole-specific standard presently fills that role. ACI-17 addresses polymer-concrete manholes but does not supply an FRP-bar reinforcement schedule or detailing system. ACI 440 documents address GFRP bars in Portland-cement structural concrete, while ASTM FRP-bar standards define bar materials. ASTM D3753 covers fiberglass structural-shell manholes, not discrete FRP bars embedded in polymer concrete. An FRP-bar-reinforced polymer-concrete manhole would therefore require an extrapolated, separately sealed design supported by appropriate shell analysis and product-specific validation; it is not established by replacing the C478 steel area with an equal FRP area.</w:t>
      </w:r>
    </w:p>
    <w:p>
      <w:pPr>
        <w:pStyle w:val="Heading1"/>
        <w:pageBreakBefore/>
      </w:pPr>
      <w:r>
        <w:t>APPENDIX C - FURTHER READING</w:t>
      </w:r>
    </w:p>
    <w:p>
      <w:pPr>
        <w:pStyle w:val="Heading2"/>
      </w:pPr>
      <w:r>
        <w:t>C.1 CONSENSUS AND TEST STANDARDS</w:t>
      </w:r>
    </w:p>
    <w:p>
      <w:r>
        <w:rPr>
          <w:rFonts w:ascii="Calibri" w:hAnsi="Calibri"/>
          <w:i w:val="0"/>
          <w:color w:val="000000"/>
          <w:sz w:val="22"/>
        </w:rPr>
        <w:t xml:space="preserve">ACI Committee 548. ACI SPEC-548.17-25, </w:t>
      </w:r>
      <w:r>
        <w:rPr>
          <w:rFonts w:ascii="Calibri" w:hAnsi="Calibri"/>
          <w:i/>
          <w:color w:val="000000"/>
          <w:sz w:val="22"/>
        </w:rPr>
        <w:t>Circular Precast Polymer-Concrete Manholes—Specification</w:t>
      </w:r>
      <w:r>
        <w:rPr>
          <w:rFonts w:ascii="Calibri" w:hAnsi="Calibri"/>
          <w:i w:val="0"/>
          <w:color w:val="000000"/>
          <w:sz w:val="22"/>
        </w:rPr>
        <w:t>.</w:t>
      </w:r>
    </w:p>
    <w:p>
      <w:r>
        <w:rPr>
          <w:rFonts w:ascii="Calibri" w:hAnsi="Calibri"/>
          <w:i w:val="0"/>
          <w:color w:val="000000"/>
          <w:sz w:val="22"/>
        </w:rPr>
        <w:t xml:space="preserve">ACI Committee 350. ACI CODE-350-20, </w:t>
      </w:r>
      <w:r>
        <w:rPr>
          <w:rFonts w:ascii="Calibri" w:hAnsi="Calibri"/>
          <w:i/>
          <w:color w:val="000000"/>
          <w:sz w:val="22"/>
        </w:rPr>
        <w:t>Code Requirements for Environmental Engineering Concrete Structures</w:t>
      </w:r>
      <w:r>
        <w:rPr>
          <w:rFonts w:ascii="Calibri" w:hAnsi="Calibri"/>
          <w:i w:val="0"/>
          <w:color w:val="000000"/>
          <w:sz w:val="22"/>
        </w:rPr>
        <w:t>.</w:t>
      </w:r>
    </w:p>
    <w:p>
      <w:r>
        <w:rPr>
          <w:rFonts w:ascii="Calibri" w:hAnsi="Calibri"/>
          <w:i w:val="0"/>
          <w:color w:val="000000"/>
          <w:sz w:val="22"/>
        </w:rPr>
        <w:t xml:space="preserve">ACI Committee 318. ACI CODE-318, </w:t>
      </w:r>
      <w:r>
        <w:rPr>
          <w:rFonts w:ascii="Calibri" w:hAnsi="Calibri"/>
          <w:i/>
          <w:color w:val="000000"/>
          <w:sz w:val="22"/>
        </w:rPr>
        <w:t>Building Code Requirements for Structural Concrete</w:t>
      </w:r>
      <w:r>
        <w:rPr>
          <w:rFonts w:ascii="Calibri" w:hAnsi="Calibri"/>
          <w:i w:val="0"/>
          <w:color w:val="000000"/>
          <w:sz w:val="22"/>
        </w:rPr>
        <w:t>. Informative comparison only; ACI-17 and ACI-350 are the direct authorities used by this specification.</w:t>
      </w:r>
    </w:p>
    <w:p>
      <w:r>
        <w:rPr>
          <w:rFonts w:ascii="Calibri" w:hAnsi="Calibri"/>
          <w:i w:val="0"/>
          <w:color w:val="000000"/>
          <w:sz w:val="22"/>
        </w:rPr>
        <w:t xml:space="preserve">ACI Committee 548. ACI PRC-548.6-19, </w:t>
      </w:r>
      <w:r>
        <w:rPr>
          <w:rFonts w:ascii="Calibri" w:hAnsi="Calibri"/>
          <w:i/>
          <w:color w:val="000000"/>
          <w:sz w:val="22"/>
        </w:rPr>
        <w:t>Polymer Concrete: Guidelines for Structural Applications</w:t>
      </w:r>
      <w:r>
        <w:rPr>
          <w:rFonts w:ascii="Calibri" w:hAnsi="Calibri"/>
          <w:i w:val="0"/>
          <w:color w:val="000000"/>
          <w:sz w:val="22"/>
        </w:rPr>
        <w:t>.</w:t>
      </w:r>
    </w:p>
    <w:p>
      <w:r>
        <w:rPr>
          <w:rFonts w:ascii="Calibri" w:hAnsi="Calibri"/>
          <w:i w:val="0"/>
          <w:color w:val="000000"/>
          <w:sz w:val="22"/>
        </w:rPr>
        <w:t xml:space="preserve">ACI Committee 440. ACI PRC-440.1-15, </w:t>
      </w:r>
      <w:r>
        <w:rPr>
          <w:rFonts w:ascii="Calibri" w:hAnsi="Calibri"/>
          <w:i/>
          <w:color w:val="000000"/>
          <w:sz w:val="22"/>
        </w:rPr>
        <w:t>Guide for the Design and Construction of Structural Concrete Reinforced with Fiber-Reinforced Polymer (FRP) Bars</w:t>
      </w:r>
      <w:r>
        <w:rPr>
          <w:rFonts w:ascii="Calibri" w:hAnsi="Calibri"/>
          <w:i w:val="0"/>
          <w:color w:val="000000"/>
          <w:sz w:val="22"/>
        </w:rPr>
        <w:t xml:space="preserve">, and ACI CODE-440.11-22, </w:t>
      </w:r>
      <w:r>
        <w:rPr>
          <w:rFonts w:ascii="Calibri" w:hAnsi="Calibri"/>
          <w:i/>
          <w:color w:val="000000"/>
          <w:sz w:val="22"/>
        </w:rPr>
        <w:t>Building Code Requirements for Structural Concrete Reinforced with Glass Fiber-Reinforced Polymer (GFRP) Bars</w:t>
      </w:r>
      <w:r>
        <w:rPr>
          <w:rFonts w:ascii="Calibri" w:hAnsi="Calibri"/>
          <w:i w:val="0"/>
          <w:color w:val="000000"/>
          <w:sz w:val="22"/>
        </w:rPr>
        <w:t>. These documents provide informative comparison for nonyielding behavior, stiffness, serviceability, and FRP-specific design; they govern Portland-cement structural concrete, not this polymer-concrete manhole product.</w:t>
      </w:r>
    </w:p>
    <w:p>
      <w:r>
        <w:rPr>
          <w:rFonts w:ascii="Calibri" w:hAnsi="Calibri"/>
          <w:i w:val="0"/>
          <w:color w:val="000000"/>
          <w:sz w:val="22"/>
        </w:rPr>
        <w:t>ASTM International. C39/C39M; C78/C78M; C267; C413; C443/C443M; C478/C478M; C497; C579; C580; C857/C857M; C923/C923M; C990/C990M; C1244/C1244M; C1821/C1821M; C1964; D543; D648; D3753; D6783; D7957/D7957M; and D8505/D8505M. C39/C39M, C78/C78M, C497, D543, D6783, C1821/C1821M, and C1964 are cited only as comparison or installation/testing context; they are not incorporated as blanket product requirements. D7957/D7957M and D8505/D8505M establish requirements for FRP reinforcing bars but do not provide a structural design for a manhole. D3753 addresses fiberglass structural-shell manholes rather than polymer concrete reinforced with discrete FRP bars. Consult current official editions.</w:t>
      </w:r>
    </w:p>
    <w:p>
      <w:r>
        <w:rPr>
          <w:rFonts w:ascii="Calibri" w:hAnsi="Calibri"/>
          <w:i w:val="0"/>
          <w:color w:val="000000"/>
          <w:sz w:val="22"/>
        </w:rPr>
        <w:t xml:space="preserve">International Organization for Standardization. ISO 9001, </w:t>
      </w:r>
      <w:r>
        <w:rPr>
          <w:rFonts w:ascii="Calibri" w:hAnsi="Calibri"/>
          <w:i/>
          <w:color w:val="000000"/>
          <w:sz w:val="22"/>
        </w:rPr>
        <w:t>Quality management systems - Requirements</w:t>
      </w:r>
      <w:r>
        <w:rPr>
          <w:rFonts w:ascii="Calibri" w:hAnsi="Calibri"/>
          <w:i w:val="0"/>
          <w:color w:val="000000"/>
          <w:sz w:val="22"/>
        </w:rPr>
        <w:t>. Quality-management-system authority; it is not product certification.</w:t>
      </w:r>
    </w:p>
    <w:p>
      <w:pPr>
        <w:pStyle w:val="Heading2"/>
      </w:pPr>
      <w:r>
        <w:t>C.2 SELECTED RESEARCH</w:t>
      </w:r>
    </w:p>
    <w:p>
      <w:r>
        <w:rPr>
          <w:rFonts w:ascii="Calibri" w:hAnsi="Calibri"/>
          <w:i w:val="0"/>
          <w:color w:val="000000"/>
          <w:sz w:val="22"/>
        </w:rPr>
        <w:t xml:space="preserve">Bedi, R., Chandra, R., and Singh, S. P. (2013). Mechanical properties of polymer concrete. </w:t>
      </w:r>
      <w:r>
        <w:rPr>
          <w:rFonts w:ascii="Calibri" w:hAnsi="Calibri"/>
          <w:i/>
          <w:color w:val="000000"/>
          <w:sz w:val="22"/>
        </w:rPr>
        <w:t>Journal of Composites</w:t>
      </w:r>
      <w:r>
        <w:rPr>
          <w:rFonts w:ascii="Calibri" w:hAnsi="Calibri"/>
          <w:i w:val="0"/>
          <w:color w:val="000000"/>
          <w:sz w:val="22"/>
        </w:rPr>
        <w:t xml:space="preserve">, 2013, Article 948745. </w:t>
      </w:r>
      <w:r>
        <w:rPr>
          <w:rFonts w:ascii="Calibri" w:hAnsi="Calibri"/>
          <w:color w:val="2E74B5"/>
          <w:sz w:val="21"/>
        </w:rPr>
        <w:t>https://doi.org/10.1155/2013/948745</w:t>
      </w:r>
    </w:p>
    <w:p>
      <w:r>
        <w:rPr>
          <w:rFonts w:ascii="Calibri" w:hAnsi="Calibri"/>
          <w:i w:val="0"/>
          <w:color w:val="000000"/>
          <w:sz w:val="22"/>
        </w:rPr>
        <w:t xml:space="preserve">Bénéthuilière, T., Duchet-Rumeau, J., Dubost, E., Peyre, C., and Gérard, J. F. (2020). Vinylester/glass fiber interface: Still a key component for designing new styrene-free SMC composite materials. </w:t>
      </w:r>
      <w:r>
        <w:rPr>
          <w:rFonts w:ascii="Calibri" w:hAnsi="Calibri"/>
          <w:i/>
          <w:color w:val="000000"/>
          <w:sz w:val="22"/>
        </w:rPr>
        <w:t>Composites Science and Technology</w:t>
      </w:r>
      <w:r>
        <w:rPr>
          <w:rFonts w:ascii="Calibri" w:hAnsi="Calibri"/>
          <w:i w:val="0"/>
          <w:color w:val="000000"/>
          <w:sz w:val="22"/>
        </w:rPr>
        <w:t xml:space="preserve">, 190, 108037. Useful context for styrene-free VE chemistry; not a manhole product qualification. </w:t>
      </w:r>
      <w:r>
        <w:rPr>
          <w:rFonts w:ascii="Calibri" w:hAnsi="Calibri"/>
          <w:color w:val="2E74B5"/>
          <w:sz w:val="21"/>
        </w:rPr>
        <w:t>https://doi.org/10.1016/j.compscitech.2020.108037</w:t>
      </w:r>
    </w:p>
    <w:p>
      <w:r>
        <w:rPr>
          <w:rFonts w:ascii="Calibri" w:hAnsi="Calibri"/>
          <w:i w:val="0"/>
          <w:color w:val="000000"/>
          <w:sz w:val="22"/>
        </w:rPr>
        <w:t xml:space="preserve">Fowler, D. W. (1999). Polymers in concrete: A vision for the 21st century. </w:t>
      </w:r>
      <w:r>
        <w:rPr>
          <w:rFonts w:ascii="Calibri" w:hAnsi="Calibri"/>
          <w:i/>
          <w:color w:val="000000"/>
          <w:sz w:val="22"/>
        </w:rPr>
        <w:t>Cement and Concrete Composites</w:t>
      </w:r>
      <w:r>
        <w:rPr>
          <w:rFonts w:ascii="Calibri" w:hAnsi="Calibri"/>
          <w:i w:val="0"/>
          <w:color w:val="000000"/>
          <w:sz w:val="22"/>
        </w:rPr>
        <w:t xml:space="preserve">, 21(5-6), 449-452. Historical and application context. </w:t>
      </w:r>
      <w:r>
        <w:rPr>
          <w:rFonts w:ascii="Calibri" w:hAnsi="Calibri"/>
          <w:color w:val="2E74B5"/>
          <w:sz w:val="21"/>
        </w:rPr>
        <w:t>https://doi.org/10.1016/S0958-9465(99)00032-3</w:t>
      </w:r>
    </w:p>
    <w:p>
      <w:r>
        <w:rPr>
          <w:rFonts w:ascii="Calibri" w:hAnsi="Calibri"/>
          <w:i w:val="0"/>
          <w:color w:val="000000"/>
          <w:sz w:val="22"/>
        </w:rPr>
        <w:t xml:space="preserve">Kleweno, D. G. (1994). Physical properties and chemical resistance of selected resins for cured-in-place pipe rehabilitation. In </w:t>
      </w:r>
      <w:r>
        <w:rPr>
          <w:rFonts w:ascii="Calibri" w:hAnsi="Calibri"/>
          <w:i/>
          <w:color w:val="000000"/>
          <w:sz w:val="22"/>
        </w:rPr>
        <w:t>Buried Plastic Pipe Technology, 2nd Volume</w:t>
      </w:r>
      <w:r>
        <w:rPr>
          <w:rFonts w:ascii="Calibri" w:hAnsi="Calibri"/>
          <w:i w:val="0"/>
          <w:color w:val="000000"/>
          <w:sz w:val="22"/>
        </w:rPr>
        <w:t xml:space="preserve">, ASTM STP 1222, 79-96. One-year comparison of polyester, epoxy vinyl ester, and epoxy resin systems in acids, bases, and oxidants associated with municipal sewers; useful for resin-family comparison, not polymer-concrete qualification. </w:t>
      </w:r>
      <w:r>
        <w:rPr>
          <w:rFonts w:ascii="Calibri" w:hAnsi="Calibri"/>
          <w:color w:val="2E74B5"/>
          <w:sz w:val="21"/>
        </w:rPr>
        <w:t>https://doi.org/10.1520/STP12667S</w:t>
      </w:r>
    </w:p>
    <w:p>
      <w:r>
        <w:rPr>
          <w:rFonts w:ascii="Calibri" w:hAnsi="Calibri"/>
          <w:i w:val="0"/>
          <w:color w:val="000000"/>
          <w:sz w:val="22"/>
        </w:rPr>
        <w:t xml:space="preserve">Genedy, M., Chennareddy, R., Stenko, M., and Taha, M. M. (2018). Development length of steel reinforcement in polymer concrete for bridge deck closure. </w:t>
      </w:r>
      <w:r>
        <w:rPr>
          <w:rFonts w:ascii="Calibri" w:hAnsi="Calibri"/>
          <w:i/>
          <w:color w:val="000000"/>
          <w:sz w:val="22"/>
        </w:rPr>
        <w:t>ICPIC 2018 Proceedings</w:t>
      </w:r>
      <w:r>
        <w:rPr>
          <w:rFonts w:ascii="Calibri" w:hAnsi="Calibri"/>
          <w:i w:val="0"/>
          <w:color w:val="000000"/>
          <w:sz w:val="22"/>
        </w:rPr>
        <w:t>, Chapter 41. Relevant to bond/detailing; product-specific validation remains necessary.</w:t>
      </w:r>
    </w:p>
    <w:p>
      <w:r>
        <w:rPr>
          <w:rFonts w:ascii="Calibri" w:hAnsi="Calibri"/>
          <w:i w:val="0"/>
          <w:color w:val="000000"/>
          <w:sz w:val="22"/>
        </w:rPr>
        <w:t xml:space="preserve">Hodul, J., Majerová, J., Drochytka, R., Dvořák, R., Topolář, L., and Pazdera, L. (2020). Effect of chemical aggressive media on the flexural properties of cured-in-place pipes supported by microstructure observation and acoustic emission. </w:t>
      </w:r>
      <w:r>
        <w:rPr>
          <w:rFonts w:ascii="Calibri" w:hAnsi="Calibri"/>
          <w:i/>
          <w:color w:val="000000"/>
          <w:sz w:val="22"/>
        </w:rPr>
        <w:t>Materials</w:t>
      </w:r>
      <w:r>
        <w:rPr>
          <w:rFonts w:ascii="Calibri" w:hAnsi="Calibri"/>
          <w:i w:val="0"/>
          <w:color w:val="000000"/>
          <w:sz w:val="22"/>
        </w:rPr>
        <w:t xml:space="preserve">, 13(14), 3051. Discusses the hydrolysis susceptibility of polyester and the greater chemical stability of vinyl ester; the CIPP application is comparative resin evidence rather than manhole qualification. </w:t>
      </w:r>
      <w:r>
        <w:rPr>
          <w:rFonts w:ascii="Calibri" w:hAnsi="Calibri"/>
          <w:color w:val="2E74B5"/>
          <w:sz w:val="21"/>
        </w:rPr>
        <w:t>https://doi.org/10.3390/ma13143051</w:t>
      </w:r>
    </w:p>
    <w:p>
      <w:r>
        <w:rPr>
          <w:rFonts w:ascii="Calibri" w:hAnsi="Calibri"/>
          <w:i w:val="0"/>
          <w:color w:val="000000"/>
          <w:sz w:val="22"/>
        </w:rPr>
        <w:t xml:space="preserve">Józefiak, K., and Michalczyk, R. (2020). Prediction of structural performance of vinyl ester polymer concrete using an FEM elasto-plastic model. </w:t>
      </w:r>
      <w:r>
        <w:rPr>
          <w:rFonts w:ascii="Calibri" w:hAnsi="Calibri"/>
          <w:i/>
          <w:color w:val="000000"/>
          <w:sz w:val="22"/>
        </w:rPr>
        <w:t>Materials</w:t>
      </w:r>
      <w:r>
        <w:rPr>
          <w:rFonts w:ascii="Calibri" w:hAnsi="Calibri"/>
          <w:i w:val="0"/>
          <w:color w:val="000000"/>
          <w:sz w:val="22"/>
        </w:rPr>
        <w:t xml:space="preserve">, 13, 4034. </w:t>
      </w:r>
      <w:r>
        <w:rPr>
          <w:rFonts w:ascii="Calibri" w:hAnsi="Calibri"/>
          <w:color w:val="2E74B5"/>
          <w:sz w:val="21"/>
        </w:rPr>
        <w:t>https://doi.org/10.3390/ma13184034</w:t>
      </w:r>
    </w:p>
    <w:p>
      <w:r>
        <w:rPr>
          <w:rFonts w:ascii="Calibri" w:hAnsi="Calibri"/>
          <w:i w:val="0"/>
          <w:color w:val="000000"/>
          <w:sz w:val="22"/>
        </w:rPr>
        <w:t xml:space="preserve">Sakhakarmi, S. (2017). </w:t>
      </w:r>
      <w:r>
        <w:rPr>
          <w:rFonts w:ascii="Calibri" w:hAnsi="Calibri"/>
          <w:i/>
          <w:color w:val="000000"/>
          <w:sz w:val="22"/>
        </w:rPr>
        <w:t>Cost comparison of cement concrete and polymer concrete manholes in sewer systems</w:t>
      </w:r>
      <w:r>
        <w:rPr>
          <w:rFonts w:ascii="Calibri" w:hAnsi="Calibri"/>
          <w:i w:val="0"/>
          <w:color w:val="000000"/>
          <w:sz w:val="22"/>
        </w:rPr>
        <w:t xml:space="preserve">. M.S. thesis, University of Nevada, Las Vegas. </w:t>
      </w:r>
      <w:r>
        <w:rPr>
          <w:rFonts w:ascii="Calibri" w:hAnsi="Calibri"/>
          <w:color w:val="2E74B5"/>
          <w:sz w:val="21"/>
        </w:rPr>
        <w:t>https://doi.org/10.34917/11889744</w:t>
      </w:r>
    </w:p>
    <w:p>
      <w:r>
        <w:rPr>
          <w:rFonts w:ascii="Calibri" w:hAnsi="Calibri"/>
          <w:i w:val="0"/>
          <w:color w:val="000000"/>
          <w:sz w:val="22"/>
        </w:rPr>
        <w:t xml:space="preserve">Sokołowska, J. J., and Woyciechowski, P. P. (2018). Chemical resistance of vinyl-ester concrete with waste mineral dust remaining after preparation of aggregate for asphalt mixture. </w:t>
      </w:r>
      <w:r>
        <w:rPr>
          <w:rFonts w:ascii="Calibri" w:hAnsi="Calibri"/>
          <w:i/>
          <w:color w:val="000000"/>
          <w:sz w:val="22"/>
        </w:rPr>
        <w:t>ICPIC 2018 Proceedings</w:t>
      </w:r>
      <w:r>
        <w:rPr>
          <w:rFonts w:ascii="Calibri" w:hAnsi="Calibri"/>
          <w:i w:val="0"/>
          <w:color w:val="000000"/>
          <w:sz w:val="22"/>
        </w:rPr>
        <w:t>, Chapter 63. Mechanistic and comparative context; ACI-17 qualification remains controlling.</w:t>
      </w:r>
    </w:p>
    <w:p>
      <w:r>
        <w:rPr>
          <w:rFonts w:ascii="Calibri" w:hAnsi="Calibri"/>
          <w:i w:val="0"/>
          <w:color w:val="000000"/>
          <w:sz w:val="22"/>
        </w:rPr>
        <w:t xml:space="preserve">Virginia Transportation Research Council. Report 08-R16, </w:t>
      </w:r>
      <w:r>
        <w:rPr>
          <w:rFonts w:ascii="Calibri" w:hAnsi="Calibri"/>
          <w:i/>
          <w:color w:val="000000"/>
          <w:sz w:val="22"/>
        </w:rPr>
        <w:t>Understanding the Environmental Implications of Cured-in-Place Pipe Rehabilitation Technology</w:t>
      </w:r>
      <w:r>
        <w:rPr>
          <w:rFonts w:ascii="Calibri" w:hAnsi="Calibri"/>
          <w:i w:val="0"/>
          <w:color w:val="000000"/>
          <w:sz w:val="22"/>
        </w:rPr>
        <w:t xml:space="preserve">. Documents styrene release from field-cured CIPP and supports the precautionary environmental context; it is not a factory-cast polymer-concrete qualification. </w:t>
      </w:r>
      <w:r>
        <w:rPr>
          <w:rFonts w:ascii="Calibri" w:hAnsi="Calibri"/>
          <w:color w:val="2E74B5"/>
          <w:sz w:val="21"/>
        </w:rPr>
        <w:t>https://vtrc.virginia.gov/reports/all-reports/08-r16/</w:t>
      </w:r>
    </w:p>
    <w:p>
      <w:r>
        <w:rPr>
          <w:rFonts w:ascii="Calibri" w:hAnsi="Calibri"/>
          <w:i w:val="0"/>
          <w:color w:val="000000"/>
          <w:sz w:val="22"/>
        </w:rPr>
        <w:t xml:space="preserve">Federal Highway Administration. FHWA-HIF-09-012, </w:t>
      </w:r>
      <w:r>
        <w:rPr>
          <w:rFonts w:ascii="Calibri" w:hAnsi="Calibri"/>
          <w:i/>
          <w:color w:val="000000"/>
          <w:sz w:val="22"/>
        </w:rPr>
        <w:t>Evaluating the Use of Fiber-Reinforced Polymer Bars in Continuously Reinforced Concrete Pavement</w:t>
      </w:r>
      <w:r>
        <w:rPr>
          <w:rFonts w:ascii="Calibri" w:hAnsi="Calibri"/>
          <w:i w:val="0"/>
          <w:color w:val="000000"/>
          <w:sz w:val="22"/>
        </w:rPr>
        <w:t xml:space="preserve">. Documents that FRP placed at conventional steel content can produce greater crack spacing and larger crack widths because of reinforcement properties, particularly elastic modulus. The pavement application is not a manhole design standard, but the reinforcement-stiffness and crack-control principles are relevant. </w:t>
      </w:r>
      <w:r>
        <w:rPr>
          <w:rFonts w:ascii="Calibri" w:hAnsi="Calibri"/>
          <w:color w:val="2E74B5"/>
          <w:sz w:val="21"/>
        </w:rPr>
        <w:t>https://www.fhwa.dot.gov/pavement/concrete/pubs/hif09012/hif09012.pdf</w:t>
      </w:r>
    </w:p>
    <w:p>
      <w:r>
        <w:rPr>
          <w:rFonts w:ascii="Calibri" w:hAnsi="Calibri"/>
          <w:i w:val="0"/>
          <w:color w:val="000000"/>
          <w:sz w:val="22"/>
        </w:rPr>
        <w:t xml:space="preserve">U.S. Environmental Protection Agency. </w:t>
      </w:r>
      <w:r>
        <w:rPr>
          <w:rFonts w:ascii="Calibri" w:hAnsi="Calibri"/>
          <w:i/>
          <w:color w:val="000000"/>
          <w:sz w:val="22"/>
        </w:rPr>
        <w:t>Guide for Evaluating Capacity, Management, Operation, and Maintenance (CMOM) Programs at Sanitary Sewer Collection Systems</w:t>
      </w:r>
      <w:r>
        <w:rPr>
          <w:rFonts w:ascii="Calibri" w:hAnsi="Calibri"/>
          <w:i w:val="0"/>
          <w:color w:val="000000"/>
          <w:sz w:val="22"/>
        </w:rPr>
        <w:t xml:space="preserve">. Identifies cracks in manhole barrels as a significant source of infiltration and supports treating crack control as a hydraulic-performance issue rather than appearance alone. </w:t>
      </w:r>
      <w:r>
        <w:rPr>
          <w:rFonts w:ascii="Calibri" w:hAnsi="Calibri"/>
          <w:color w:val="2E74B5"/>
          <w:sz w:val="21"/>
        </w:rPr>
        <w:t>https://19january2017snapshot.epa.gov/sites/production/files/2015-10/documents/cmom_guide_for_collection_systems.pdf</w:t>
      </w:r>
    </w:p>
    <w:p>
      <w:r>
        <w:rPr>
          <w:rFonts w:ascii="Calibri" w:hAnsi="Calibri"/>
          <w:i w:val="0"/>
          <w:color w:val="000000"/>
          <w:sz w:val="22"/>
        </w:rPr>
        <w:t xml:space="preserve">Occupational Safety and Health Administration. </w:t>
      </w:r>
      <w:r>
        <w:rPr>
          <w:rFonts w:ascii="Calibri" w:hAnsi="Calibri"/>
          <w:i/>
          <w:color w:val="000000"/>
          <w:sz w:val="22"/>
        </w:rPr>
        <w:t>Styrene</w:t>
      </w:r>
      <w:r>
        <w:rPr>
          <w:rFonts w:ascii="Calibri" w:hAnsi="Calibri"/>
          <w:i w:val="0"/>
          <w:color w:val="000000"/>
          <w:sz w:val="22"/>
        </w:rPr>
        <w:t xml:space="preserve">. Occupational hazard and control context for resin manufacturing. </w:t>
      </w:r>
      <w:r>
        <w:rPr>
          <w:rFonts w:ascii="Calibri" w:hAnsi="Calibri"/>
          <w:color w:val="2E74B5"/>
          <w:sz w:val="21"/>
        </w:rPr>
        <w:t>https://www.osha.gov/styrene</w:t>
      </w:r>
    </w:p>
    <w:p>
      <w:r>
        <w:rPr>
          <w:rFonts w:ascii="Calibri" w:hAnsi="Calibri"/>
          <w:i w:val="0"/>
          <w:color w:val="000000"/>
          <w:sz w:val="22"/>
        </w:rPr>
        <w:t xml:space="preserve">National Institute for Occupational Safety and Health. </w:t>
      </w:r>
      <w:r>
        <w:rPr>
          <w:rFonts w:ascii="Calibri" w:hAnsi="Calibri"/>
          <w:i/>
          <w:color w:val="000000"/>
          <w:sz w:val="22"/>
        </w:rPr>
        <w:t>NIOSH Pocket Guide to Chemical Hazards: Styrene</w:t>
      </w:r>
      <w:r>
        <w:rPr>
          <w:rFonts w:ascii="Calibri" w:hAnsi="Calibri"/>
          <w:i w:val="0"/>
          <w:color w:val="000000"/>
          <w:sz w:val="22"/>
        </w:rPr>
        <w:t xml:space="preserve">. Exposure limits and health-hazard reference. </w:t>
      </w:r>
      <w:r>
        <w:rPr>
          <w:rFonts w:ascii="Calibri" w:hAnsi="Calibri"/>
          <w:color w:val="2E74B5"/>
          <w:sz w:val="21"/>
        </w:rPr>
        <w:t>https://www.cdc.gov/niosh/npg/npgd0571.html</w:t>
      </w:r>
    </w:p>
    <w:p>
      <w:pPr>
        <w:pStyle w:val="Heading2"/>
      </w:pPr>
      <w:r>
        <w:t>C.3 INDEPENDENT INDUSTRY GUIDANCE</w:t>
      </w:r>
    </w:p>
    <w:p>
      <w:r>
        <w:rPr>
          <w:rFonts w:ascii="Calibri" w:hAnsi="Calibri"/>
          <w:i w:val="0"/>
          <w:color w:val="000000"/>
          <w:sz w:val="22"/>
        </w:rPr>
        <w:t xml:space="preserve">National Precast Concrete Association. </w:t>
      </w:r>
      <w:r>
        <w:rPr>
          <w:rFonts w:ascii="Calibri" w:hAnsi="Calibri"/>
          <w:i/>
          <w:color w:val="000000"/>
          <w:sz w:val="22"/>
        </w:rPr>
        <w:t>Underground Structure Joints</w:t>
      </w:r>
      <w:r>
        <w:rPr>
          <w:rFonts w:ascii="Calibri" w:hAnsi="Calibri"/>
          <w:i w:val="0"/>
          <w:color w:val="000000"/>
          <w:sz w:val="22"/>
        </w:rPr>
        <w:t xml:space="preserve"> (2023). Explains performance-based selection among soil-tight, silt-tight, leak-resistant, and special-design joints; distinguishes C443 gasket geometry from C990 preformed-sealant behavior in vertical structures. </w:t>
      </w:r>
      <w:r>
        <w:rPr>
          <w:rFonts w:ascii="Calibri" w:hAnsi="Calibri"/>
          <w:color w:val="2E74B5"/>
          <w:sz w:val="21"/>
        </w:rPr>
        <w:t>https://precast.org/precasttoday/q1-2023/underground-structure-joints/</w:t>
      </w:r>
    </w:p>
    <w:p>
      <w:r>
        <w:rPr>
          <w:rFonts w:ascii="Calibri" w:hAnsi="Calibri"/>
          <w:i w:val="0"/>
          <w:color w:val="000000"/>
          <w:sz w:val="22"/>
        </w:rPr>
        <w:t xml:space="preserve">National Precast Concrete Association. </w:t>
      </w:r>
      <w:r>
        <w:rPr>
          <w:rFonts w:ascii="Calibri" w:hAnsi="Calibri"/>
          <w:i/>
          <w:color w:val="000000"/>
          <w:sz w:val="22"/>
        </w:rPr>
        <w:t>Watertight Manhole Joints</w:t>
      </w:r>
      <w:r>
        <w:rPr>
          <w:rFonts w:ascii="Calibri" w:hAnsi="Calibri"/>
          <w:i w:val="0"/>
          <w:color w:val="000000"/>
          <w:sz w:val="22"/>
        </w:rPr>
        <w:t xml:space="preserve"> (Tech Note, 2013). Compares C443 and C990 joint applications and illustrates common manhole joint geometries. </w:t>
      </w:r>
      <w:r>
        <w:rPr>
          <w:rFonts w:ascii="Calibri" w:hAnsi="Calibri"/>
          <w:color w:val="2E74B5"/>
          <w:sz w:val="21"/>
        </w:rPr>
        <w:t>https://precast.org/wp-content/uploads/100323_Products_ManholeWatertightJointsTechNote.pdf</w:t>
      </w:r>
    </w:p>
    <w:p>
      <w:r>
        <w:rPr>
          <w:rFonts w:ascii="Calibri" w:hAnsi="Calibri"/>
          <w:i w:val="0"/>
          <w:color w:val="000000"/>
          <w:sz w:val="22"/>
        </w:rPr>
        <w:t xml:space="preserve">National Precast Concrete Association. </w:t>
      </w:r>
      <w:r>
        <w:rPr>
          <w:rFonts w:ascii="Calibri" w:hAnsi="Calibri"/>
          <w:i/>
          <w:color w:val="000000"/>
          <w:sz w:val="22"/>
        </w:rPr>
        <w:t>Vacuum Testing Precast Concrete Manholes</w:t>
      </w:r>
      <w:r>
        <w:rPr>
          <w:rFonts w:ascii="Calibri" w:hAnsi="Calibri"/>
          <w:i w:val="0"/>
          <w:color w:val="000000"/>
          <w:sz w:val="22"/>
        </w:rPr>
        <w:t xml:space="preserve">. Discusses test timing, groundwater effects, connector pressure ratings, and system-level precautions. </w:t>
      </w:r>
      <w:r>
        <w:rPr>
          <w:rFonts w:ascii="Calibri" w:hAnsi="Calibri"/>
          <w:color w:val="2E74B5"/>
          <w:sz w:val="21"/>
        </w:rPr>
        <w:t>https://precast.org/wp-content/uploads/100323_Products_ManholeVacuumTesting.pdf</w:t>
      </w:r>
    </w:p>
    <w:p>
      <w:r>
        <w:rPr>
          <w:rFonts w:ascii="Calibri" w:hAnsi="Calibri"/>
          <w:i w:val="0"/>
          <w:color w:val="000000"/>
          <w:sz w:val="22"/>
        </w:rPr>
        <w:t xml:space="preserve">American Concrete Pipe Association. Design Data 41, </w:t>
      </w:r>
      <w:r>
        <w:rPr>
          <w:rFonts w:ascii="Calibri" w:hAnsi="Calibri"/>
          <w:i/>
          <w:color w:val="000000"/>
          <w:sz w:val="22"/>
        </w:rPr>
        <w:t>Manhole Flotation</w:t>
      </w:r>
      <w:r>
        <w:rPr>
          <w:rFonts w:ascii="Calibri" w:hAnsi="Calibri"/>
          <w:i w:val="0"/>
          <w:color w:val="000000"/>
          <w:sz w:val="22"/>
        </w:rPr>
        <w:t xml:space="preserve">. Provides a conventional buoyancy-analysis reference for smooth-wall and extended-base manholes; project geotechnical values and ACI-17 acceptance criteria remain controlling. </w:t>
      </w:r>
      <w:r>
        <w:rPr>
          <w:rFonts w:ascii="Calibri" w:hAnsi="Calibri"/>
          <w:color w:val="2E74B5"/>
          <w:sz w:val="21"/>
        </w:rPr>
        <w:t>https://resources.concretepipe.org/dd41-manhole-flotation</w:t>
      </w:r>
    </w:p>
    <w:p>
      <w:pPr>
        <w:pStyle w:val="Heading1"/>
        <w:pageBreakBefore/>
      </w:pPr>
      <w:r>
        <w:t>APPENDIX D - SPECIFICATION ISSUE AND MAINTENANCE CHECKLIST</w:t>
      </w:r>
    </w:p>
    <w:p>
      <w:pPr>
        <w:numPr>
          <w:ilvl w:val="0"/>
          <w:numId w:val="10"/>
        </w:numPr>
        <w:spacing w:after="80" w:line="300" w:lineRule="auto"/>
        <w:ind w:left="540" w:hanging="271"/>
      </w:pPr>
      <w:r>
        <w:rPr>
          <w:rFonts w:ascii="Calibri" w:hAnsi="Calibri"/>
          <w:i w:val="0"/>
          <w:color w:val="000000"/>
          <w:sz w:val="22"/>
        </w:rPr>
        <w:t>Verify that the issued project specification and this commentary have identical clause numbering and numeric requirements.</w:t>
      </w:r>
    </w:p>
    <w:p>
      <w:pPr>
        <w:numPr>
          <w:ilvl w:val="0"/>
          <w:numId w:val="10"/>
        </w:numPr>
        <w:spacing w:after="80" w:line="300" w:lineRule="auto"/>
        <w:ind w:left="540" w:hanging="271"/>
      </w:pPr>
      <w:r>
        <w:rPr>
          <w:rFonts w:ascii="Calibri" w:hAnsi="Calibri"/>
          <w:i w:val="0"/>
          <w:color w:val="000000"/>
          <w:sz w:val="22"/>
        </w:rPr>
        <w:t>Require project submittals demonstrating that the proposed product satisfies the complete ACI-17 chemical qualification.</w:t>
      </w:r>
    </w:p>
    <w:p>
      <w:pPr>
        <w:numPr>
          <w:ilvl w:val="0"/>
          <w:numId w:val="10"/>
        </w:numPr>
        <w:spacing w:after="80" w:line="300" w:lineRule="auto"/>
        <w:ind w:left="540" w:hanging="271"/>
      </w:pPr>
      <w:r>
        <w:rPr>
          <w:rFonts w:ascii="Calibri" w:hAnsi="Calibri"/>
          <w:i w:val="0"/>
          <w:color w:val="000000"/>
          <w:sz w:val="22"/>
        </w:rPr>
        <w:t>Confirm that the 10,000 psi at 7 days compressive requirement remains coordinated with the current ACI product standard and that mechanical properties used in design are documented.</w:t>
      </w:r>
    </w:p>
    <w:p>
      <w:pPr>
        <w:numPr>
          <w:ilvl w:val="0"/>
          <w:numId w:val="10"/>
        </w:numPr>
        <w:spacing w:after="80" w:line="300" w:lineRule="auto"/>
        <w:ind w:left="540" w:hanging="271"/>
      </w:pPr>
      <w:r>
        <w:rPr>
          <w:rFonts w:ascii="Calibri" w:hAnsi="Calibri"/>
          <w:i w:val="0"/>
          <w:color w:val="000000"/>
          <w:sz w:val="22"/>
        </w:rPr>
        <w:t>Confirm that the specified ASTM methods, conditioning ages, and acceptance rules remain coordinated with the current adopted editions.</w:t>
      </w:r>
    </w:p>
    <w:p>
      <w:pPr>
        <w:numPr>
          <w:ilvl w:val="0"/>
          <w:numId w:val="10"/>
        </w:numPr>
        <w:spacing w:after="80" w:line="300" w:lineRule="auto"/>
        <w:ind w:left="540" w:hanging="271"/>
      </w:pPr>
      <w:r>
        <w:rPr>
          <w:rFonts w:ascii="Calibri" w:hAnsi="Calibri"/>
          <w:i w:val="0"/>
          <w:color w:val="000000"/>
          <w:sz w:val="22"/>
        </w:rPr>
        <w:t>Retain the ACI-17 absorption limit and chemical-resistance endpoints as complete requirements rather than substituting marketing descriptions such as “nonporous” or “chemical proof.”</w:t>
      </w:r>
    </w:p>
    <w:p>
      <w:pPr>
        <w:numPr>
          <w:ilvl w:val="0"/>
          <w:numId w:val="10"/>
        </w:numPr>
        <w:spacing w:after="80" w:line="300" w:lineRule="auto"/>
        <w:ind w:left="540" w:hanging="271"/>
      </w:pPr>
      <w:r>
        <w:rPr>
          <w:rFonts w:ascii="Calibri" w:hAnsi="Calibri"/>
          <w:i w:val="0"/>
          <w:color w:val="000000"/>
          <w:sz w:val="22"/>
        </w:rPr>
        <w:t>Require resin-supplier certification establishing vinyl-ester chemistry, absence of styrene as the reactive diluent, and heat-deflection temperature.</w:t>
      </w:r>
    </w:p>
    <w:p>
      <w:pPr>
        <w:numPr>
          <w:ilvl w:val="0"/>
          <w:numId w:val="10"/>
        </w:numPr>
        <w:spacing w:after="80" w:line="300" w:lineRule="auto"/>
        <w:ind w:left="540" w:hanging="271"/>
      </w:pPr>
      <w:r>
        <w:rPr>
          <w:rFonts w:ascii="Calibri" w:hAnsi="Calibri"/>
          <w:i w:val="0"/>
          <w:color w:val="000000"/>
          <w:sz w:val="22"/>
        </w:rPr>
        <w:t>Confirm the current adopted C478 edition and the stated wall, base-floor, grade-ring, opening, spacing, and cage-stability reinforcement requirements together with ACI-17 cover.</w:t>
      </w:r>
    </w:p>
    <w:p>
      <w:pPr>
        <w:numPr>
          <w:ilvl w:val="0"/>
          <w:numId w:val="10"/>
        </w:numPr>
        <w:spacing w:after="80" w:line="300" w:lineRule="auto"/>
        <w:ind w:left="540" w:hanging="271"/>
      </w:pPr>
      <w:r>
        <w:rPr>
          <w:rFonts w:ascii="Calibri" w:hAnsi="Calibri"/>
          <w:i w:val="0"/>
          <w:color w:val="000000"/>
          <w:sz w:val="22"/>
        </w:rPr>
        <w:t>Confirm P3 standard manufacturing geometry, 145 pcf unit weight, lifting details, joint profiles, connector schedules, and repair procedures.</w:t>
      </w:r>
    </w:p>
    <w:p>
      <w:pPr>
        <w:numPr>
          <w:ilvl w:val="0"/>
          <w:numId w:val="10"/>
        </w:numPr>
        <w:spacing w:after="80" w:line="300" w:lineRule="auto"/>
        <w:ind w:left="540" w:hanging="271"/>
      </w:pPr>
      <w:r>
        <w:rPr>
          <w:rFonts w:ascii="Calibri" w:hAnsi="Calibri"/>
          <w:i w:val="0"/>
          <w:color w:val="000000"/>
          <w:sz w:val="22"/>
        </w:rPr>
        <w:t>Confirm ISO 9001 certificate, production traceability, calibration, nonconformance, and record-retention procedures.</w:t>
      </w:r>
    </w:p>
    <w:p>
      <w:pPr>
        <w:numPr>
          <w:ilvl w:val="0"/>
          <w:numId w:val="10"/>
        </w:numPr>
        <w:spacing w:after="80" w:line="300" w:lineRule="auto"/>
        <w:ind w:left="540" w:hanging="271"/>
      </w:pPr>
      <w:r>
        <w:rPr>
          <w:rFonts w:ascii="Calibri" w:hAnsi="Calibri"/>
          <w:i w:val="0"/>
          <w:color w:val="000000"/>
          <w:sz w:val="22"/>
        </w:rPr>
        <w:t>Confirm issued warranty language remains identical in commercial effect to the referenced P3 Standard Warranty.</w:t>
      </w:r>
    </w:p>
    <w:p>
      <w:pPr>
        <w:numPr>
          <w:ilvl w:val="0"/>
          <w:numId w:val="10"/>
        </w:numPr>
        <w:spacing w:after="80" w:line="300" w:lineRule="auto"/>
        <w:ind w:left="540" w:hanging="271"/>
      </w:pPr>
      <w:r>
        <w:rPr>
          <w:rFonts w:ascii="Calibri" w:hAnsi="Calibri"/>
          <w:i w:val="0"/>
          <w:color w:val="000000"/>
          <w:sz w:val="22"/>
        </w:rPr>
        <w:t>Resolve all related-section references and field-test choices before issue.</w:t>
      </w:r>
    </w:p>
    <w:p>
      <w:pPr>
        <w:numPr>
          <w:ilvl w:val="0"/>
          <w:numId w:val="10"/>
        </w:numPr>
        <w:spacing w:after="80" w:line="300" w:lineRule="auto"/>
        <w:ind w:left="540" w:hanging="271"/>
      </w:pPr>
      <w:r>
        <w:rPr>
          <w:rFonts w:ascii="Calibri" w:hAnsi="Calibri"/>
          <w:i w:val="0"/>
          <w:color w:val="000000"/>
          <w:sz w:val="22"/>
        </w:rPr>
        <w:t>Review official ACI/ASTM catalogs for edition changes and evaluate technical impact before adopting them.</w:t>
      </w:r>
    </w:p>
    <w:p>
      <w:pPr>
        <w:pStyle w:val="Heading2"/>
      </w:pPr>
      <w:r>
        <w:t>END OF COMMENTARY</w:t>
      </w:r>
    </w:p>
    <w:sectPr w:rsidR="00FC693F" w:rsidRPr="0006063C" w:rsidSect="00034616">
      <w:headerReference w:type="default" r:id="rId9"/>
      <w:footerReference w:type="default" r:id="rId10"/>
      <w:pgSz w:w="12240" w:h="15840"/>
      <w:pgMar w:top="1440" w:right="1440" w:bottom="1440" w:left="1440" w:header="576"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Calibri" w:hAnsi="Calibri"/>
        <w:color w:val="646B73"/>
        <w:sz w:val="17"/>
      </w:rPr>
      <w:t xml:space="preserve">Section 33 05 61  |  </w:t>
    </w:r>
    <w:r>
      <w:rPr>
        <w:rFonts w:ascii="Calibri" w:hAnsi="Calibri"/>
        <w:color w:val="646B73"/>
        <w:sz w:val="17"/>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Calibri" w:hAnsi="Calibri"/>
        <w:b/>
        <w:color w:val="646B73"/>
        <w:sz w:val="17"/>
      </w:rPr>
      <w:t>P3 POLYMERS  |  SPECIFICATION COMMENTARY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suff w:val="tab"/>
      <w:pPr>
        <w:tabs>
          <w:tab w:val="num" w:pos="540"/>
        </w:tabs>
        <w:ind w:left="540" w:hanging="270"/>
      </w:pPr>
    </w:lvl>
  </w:abstractNum>
  <w:num w:numId="10">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cificationQuote">
    <w:name w:val="Specification Quote"/>
    <w:basedOn w:val="Normal"/>
    <w:pPr>
      <w:keepLines/>
      <w:spacing w:before="60" w:after="140" w:line="276" w:lineRule="auto"/>
      <w:ind w:left="360" w:right="216"/>
    </w:pPr>
    <w:rPr>
      <w:rFonts w:ascii="Calibri" w:hAnsi="Calibri"/>
      <w:i/>
      <w:color w:val="1F4D78"/>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P3 Polymer Concrete Manhole Specification Commentary and Specifier's Guide</dc:title>
  <dc:subject>Clause-by-clause commentary for Section 33 05 61</dc:subject>
  <dc:creator>P3 Polymers, LLC</dc:creator>
  <cp:keywords>polymer concrete, manhole, specification commentary, ACI 548.17, ASTM</cp:keywords>
  <dc:description>Noncontractual companion commentary.</dc:description>
  <cp:lastModifiedBy/>
  <cp:revision>1</cp:revision>
  <dcterms:created xsi:type="dcterms:W3CDTF">2013-12-23T23:15:00Z</dcterms:created>
  <dcterms:modified xsi:type="dcterms:W3CDTF">2013-12-23T23:15:00Z</dcterms:modified>
  <cp:category/>
</cp:coreProperties>
</file>